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98" w:rsidRDefault="00E21598" w:rsidP="007A017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Working in Offices &amp; Mobile Work – Risk Assessment</w:t>
      </w:r>
    </w:p>
    <w:p w:rsidR="00E21598" w:rsidRDefault="00E21598" w:rsidP="007A017A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701"/>
        <w:gridCol w:w="5670"/>
        <w:gridCol w:w="2552"/>
        <w:gridCol w:w="6237"/>
      </w:tblGrid>
      <w:tr w:rsidR="00E21598" w:rsidTr="00E21598">
        <w:tc>
          <w:tcPr>
            <w:tcW w:w="1701" w:type="dxa"/>
            <w:shd w:val="clear" w:color="auto" w:fill="DBE5F1" w:themeFill="accent1" w:themeFillTint="33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E21598">
              <w:rPr>
                <w:b/>
                <w:sz w:val="20"/>
                <w:szCs w:val="20"/>
                <w:lang w:val="en-US"/>
              </w:rPr>
              <w:t xml:space="preserve">Name of </w:t>
            </w:r>
            <w:r>
              <w:rPr>
                <w:b/>
                <w:sz w:val="20"/>
                <w:szCs w:val="20"/>
                <w:lang w:val="en-US"/>
              </w:rPr>
              <w:t>Site</w:t>
            </w:r>
          </w:p>
        </w:tc>
        <w:tc>
          <w:tcPr>
            <w:tcW w:w="5670" w:type="dxa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6237" w:type="dxa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E21598" w:rsidTr="00EF5F00">
        <w:tc>
          <w:tcPr>
            <w:tcW w:w="1701" w:type="dxa"/>
            <w:shd w:val="clear" w:color="auto" w:fill="DBE5F1" w:themeFill="accent1" w:themeFillTint="33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E21598">
              <w:rPr>
                <w:b/>
                <w:sz w:val="20"/>
                <w:szCs w:val="20"/>
                <w:lang w:val="en-US"/>
              </w:rPr>
              <w:t>Service</w:t>
            </w:r>
            <w:r w:rsidR="00C362D6">
              <w:rPr>
                <w:b/>
                <w:sz w:val="20"/>
                <w:szCs w:val="20"/>
                <w:lang w:val="en-US"/>
              </w:rPr>
              <w:t xml:space="preserve"> Area</w:t>
            </w:r>
          </w:p>
        </w:tc>
        <w:tc>
          <w:tcPr>
            <w:tcW w:w="5670" w:type="dxa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and job role of person(s) completing risk assessment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E21598" w:rsidTr="00EF5F00">
        <w:tc>
          <w:tcPr>
            <w:tcW w:w="1701" w:type="dxa"/>
            <w:shd w:val="clear" w:color="auto" w:fill="DBE5F1" w:themeFill="accent1" w:themeFillTint="33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5670" w:type="dxa"/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21598" w:rsidRPr="00E21598" w:rsidRDefault="00EF5F00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Review Date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:rsidR="00E21598" w:rsidRPr="00E21598" w:rsidRDefault="00E21598" w:rsidP="007A017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21598" w:rsidRDefault="00E21598" w:rsidP="007A017A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6160"/>
      </w:tblGrid>
      <w:tr w:rsidR="00E21598" w:rsidTr="00C362D6">
        <w:trPr>
          <w:trHeight w:val="768"/>
        </w:trPr>
        <w:tc>
          <w:tcPr>
            <w:tcW w:w="16160" w:type="dxa"/>
            <w:shd w:val="clear" w:color="auto" w:fill="DBE5F1" w:themeFill="accent1" w:themeFillTint="33"/>
          </w:tcPr>
          <w:p w:rsidR="00E21598" w:rsidRDefault="00E21598" w:rsidP="00E0366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employees of PC24 are responsible for reporting to management</w:t>
            </w:r>
            <w:r w:rsidR="00E0366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any additional unforeseen hazards not listed in this document.</w:t>
            </w:r>
          </w:p>
          <w:p w:rsidR="00E21598" w:rsidRDefault="00E03661" w:rsidP="00C362D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E21598">
              <w:rPr>
                <w:sz w:val="24"/>
                <w:szCs w:val="24"/>
                <w:lang w:val="en-US"/>
              </w:rPr>
              <w:t xml:space="preserve">Health &amp; Safety management will risk assess the observations and </w:t>
            </w:r>
            <w:r>
              <w:rPr>
                <w:sz w:val="24"/>
                <w:szCs w:val="24"/>
                <w:lang w:val="en-US"/>
              </w:rPr>
              <w:t>t</w:t>
            </w:r>
            <w:r w:rsidR="00E21598">
              <w:rPr>
                <w:sz w:val="24"/>
                <w:szCs w:val="24"/>
                <w:lang w:val="en-US"/>
              </w:rPr>
              <w:t>hen take the appropriate action to protect their own safety and all other people affected by the hazard.</w:t>
            </w:r>
            <w:r>
              <w:rPr>
                <w:sz w:val="24"/>
                <w:szCs w:val="24"/>
                <w:lang w:val="en-US"/>
              </w:rPr>
              <w:t xml:space="preserve">  Any employee must escalate any hazards identified as soon as possible to their line manager and by reporting the hazard on Datix.  </w:t>
            </w:r>
          </w:p>
        </w:tc>
      </w:tr>
    </w:tbl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C362D6" w:rsidRPr="00C362D6" w:rsidRDefault="00C362D6" w:rsidP="0086769C">
      <w:pPr>
        <w:spacing w:after="0" w:line="240" w:lineRule="auto"/>
        <w:rPr>
          <w:b/>
          <w:sz w:val="24"/>
          <w:szCs w:val="24"/>
          <w:lang w:val="en-US"/>
        </w:rPr>
      </w:pPr>
      <w:r w:rsidRPr="00C362D6">
        <w:rPr>
          <w:b/>
          <w:sz w:val="24"/>
          <w:szCs w:val="24"/>
          <w:lang w:val="en-US"/>
        </w:rPr>
        <w:t xml:space="preserve">Risk </w:t>
      </w:r>
      <w:r>
        <w:rPr>
          <w:b/>
          <w:sz w:val="24"/>
          <w:szCs w:val="24"/>
          <w:lang w:val="en-US"/>
        </w:rPr>
        <w:t>Assessment Matrix.  Risk Assessment Score = Likelihood X Consequence</w:t>
      </w:r>
    </w:p>
    <w:p w:rsidR="00C362D6" w:rsidRDefault="00C362D6" w:rsidP="007A017A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10921" w:type="dxa"/>
        <w:tblInd w:w="15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"/>
        <w:gridCol w:w="1842"/>
        <w:gridCol w:w="1843"/>
        <w:gridCol w:w="1843"/>
        <w:gridCol w:w="1842"/>
        <w:gridCol w:w="1841"/>
        <w:gridCol w:w="1704"/>
      </w:tblGrid>
      <w:tr w:rsidR="00C362D6" w:rsidRPr="007411B1" w:rsidTr="0086769C">
        <w:trPr>
          <w:trHeight w:val="261"/>
        </w:trPr>
        <w:tc>
          <w:tcPr>
            <w:tcW w:w="1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  <w:t xml:space="preserve">Likelihood (of hazard being </w:t>
            </w:r>
            <w:proofErr w:type="spellStart"/>
            <w:r w:rsidRPr="00C362D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  <w:t>realised</w:t>
            </w:r>
            <w:proofErr w:type="spellEnd"/>
            <w:r w:rsidRPr="00C362D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9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  <w:t>Consequence</w:t>
            </w:r>
            <w:bookmarkStart w:id="0" w:name="_GoBack"/>
            <w:bookmarkEnd w:id="0"/>
          </w:p>
        </w:tc>
      </w:tr>
      <w:tr w:rsidR="00C362D6" w:rsidRPr="007411B1" w:rsidTr="0086769C">
        <w:trPr>
          <w:trHeight w:val="267"/>
        </w:trPr>
        <w:tc>
          <w:tcPr>
            <w:tcW w:w="1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2D6" w:rsidRPr="00C362D6" w:rsidRDefault="00C362D6" w:rsidP="00DA4B8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Insignificant   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Minor    (2)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Moderate   (3)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Major   (4)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Catastrophic (5)</w:t>
            </w:r>
          </w:p>
        </w:tc>
      </w:tr>
      <w:tr w:rsidR="00C362D6" w:rsidRPr="007411B1" w:rsidTr="0086769C">
        <w:trPr>
          <w:trHeight w:val="217"/>
        </w:trPr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Rare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5</w:t>
            </w:r>
          </w:p>
        </w:tc>
      </w:tr>
      <w:tr w:rsidR="00C362D6" w:rsidRPr="007411B1" w:rsidTr="0086769C">
        <w:trPr>
          <w:trHeight w:val="269"/>
        </w:trPr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Unlikely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10</w:t>
            </w:r>
          </w:p>
        </w:tc>
      </w:tr>
      <w:tr w:rsidR="00C362D6" w:rsidRPr="007411B1" w:rsidTr="0086769C">
        <w:trPr>
          <w:trHeight w:val="261"/>
        </w:trPr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Possible (3)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12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15</w:t>
            </w:r>
          </w:p>
        </w:tc>
      </w:tr>
      <w:tr w:rsidR="00C362D6" w:rsidRPr="007411B1" w:rsidTr="0086769C">
        <w:trPr>
          <w:trHeight w:val="253"/>
        </w:trPr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Likely 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20</w:t>
            </w:r>
          </w:p>
        </w:tc>
      </w:tr>
      <w:tr w:rsidR="00C362D6" w:rsidRPr="007411B1" w:rsidTr="0086769C">
        <w:trPr>
          <w:trHeight w:val="227"/>
        </w:trPr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Almost Certain 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15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20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62D6" w:rsidRPr="00C362D6" w:rsidRDefault="00C362D6" w:rsidP="00DA4B8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362D6">
              <w:rPr>
                <w:rFonts w:asciiTheme="minorHAnsi" w:eastAsia="Times New Roman" w:hAnsiTheme="minorHAnsi" w:cstheme="minorHAnsi"/>
                <w:color w:val="000000"/>
                <w:kern w:val="24"/>
                <w:sz w:val="20"/>
                <w:szCs w:val="20"/>
                <w:lang w:val="en-US" w:eastAsia="en-GB"/>
              </w:rPr>
              <w:t>25</w:t>
            </w:r>
          </w:p>
        </w:tc>
      </w:tr>
      <w:tr w:rsidR="00C362D6" w:rsidRPr="007411B1" w:rsidTr="0086769C">
        <w:trPr>
          <w:gridBefore w:val="1"/>
          <w:wBefore w:w="6" w:type="dxa"/>
          <w:trHeight w:val="245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Likelihood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Descriptor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Description</w:t>
            </w:r>
          </w:p>
        </w:tc>
      </w:tr>
      <w:tr w:rsidR="00C362D6" w:rsidRPr="007411B1" w:rsidTr="0086769C">
        <w:trPr>
          <w:gridBefore w:val="1"/>
          <w:wBefore w:w="6" w:type="dxa"/>
          <w:trHeight w:val="328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C362D6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362D6">
              <w:rPr>
                <w:rFonts w:ascii="Arial" w:eastAsia="Times New Roman" w:hAnsi="Arial"/>
                <w:kern w:val="24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Almost Certain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Likely to occur on many occasions, a persistent issue</w:t>
            </w:r>
          </w:p>
        </w:tc>
      </w:tr>
      <w:tr w:rsidR="00C362D6" w:rsidRPr="007411B1" w:rsidTr="0086769C">
        <w:trPr>
          <w:gridBefore w:val="1"/>
          <w:wBefore w:w="6" w:type="dxa"/>
          <w:trHeight w:val="328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C362D6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362D6">
              <w:rPr>
                <w:rFonts w:ascii="Arial" w:eastAsia="Times New Roman" w:hAnsi="Arial"/>
                <w:kern w:val="24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Will probably occur but is not a persistent issue</w:t>
            </w:r>
          </w:p>
        </w:tc>
      </w:tr>
      <w:tr w:rsidR="00C362D6" w:rsidRPr="007411B1" w:rsidTr="0086769C">
        <w:trPr>
          <w:gridBefore w:val="1"/>
          <w:wBefore w:w="6" w:type="dxa"/>
          <w:trHeight w:val="328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C362D6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362D6">
              <w:rPr>
                <w:rFonts w:ascii="Arial" w:eastAsia="Times New Roman" w:hAnsi="Arial"/>
                <w:kern w:val="24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Possible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May occur/recur occasionally</w:t>
            </w:r>
          </w:p>
        </w:tc>
      </w:tr>
      <w:tr w:rsidR="00C362D6" w:rsidRPr="007411B1" w:rsidTr="0086769C">
        <w:trPr>
          <w:gridBefore w:val="1"/>
          <w:wBefore w:w="6" w:type="dxa"/>
          <w:trHeight w:val="328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C362D6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362D6">
              <w:rPr>
                <w:rFonts w:ascii="Arial" w:eastAsia="Times New Roman" w:hAnsi="Arial"/>
                <w:kern w:val="24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Unlikely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Do not expect it to happen but it is possible</w:t>
            </w:r>
          </w:p>
        </w:tc>
      </w:tr>
      <w:tr w:rsidR="00C362D6" w:rsidRPr="007411B1" w:rsidTr="0086769C">
        <w:trPr>
          <w:gridBefore w:val="1"/>
          <w:wBefore w:w="6" w:type="dxa"/>
          <w:trHeight w:val="30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C362D6" w:rsidRDefault="00C362D6" w:rsidP="00DA4B89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362D6">
              <w:rPr>
                <w:rFonts w:ascii="Arial" w:eastAsia="Times New Roman" w:hAnsi="Arial"/>
                <w:kern w:val="24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Rare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C362D6" w:rsidRPr="00A639E5" w:rsidRDefault="00C362D6" w:rsidP="00DA4B89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39E5">
              <w:rPr>
                <w:rFonts w:ascii="Arial" w:eastAsia="Times New Roman" w:hAnsi="Arial"/>
                <w:color w:val="000000"/>
                <w:kern w:val="24"/>
                <w:sz w:val="20"/>
                <w:szCs w:val="20"/>
                <w:lang w:eastAsia="en-GB"/>
              </w:rPr>
              <w:t>Cannot believe that this will ever happen</w:t>
            </w:r>
          </w:p>
        </w:tc>
      </w:tr>
    </w:tbl>
    <w:p w:rsidR="00E03661" w:rsidRDefault="00E03661" w:rsidP="007A017A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567"/>
        <w:gridCol w:w="2552"/>
        <w:gridCol w:w="5245"/>
        <w:gridCol w:w="1417"/>
        <w:gridCol w:w="709"/>
        <w:gridCol w:w="709"/>
        <w:gridCol w:w="3402"/>
        <w:gridCol w:w="708"/>
        <w:gridCol w:w="851"/>
      </w:tblGrid>
      <w:tr w:rsidR="00334F60" w:rsidTr="00334F60">
        <w:tc>
          <w:tcPr>
            <w:tcW w:w="567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Item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Routine Work Activity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Hazards (something that has the potential to cause harm)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Who might be harmed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Risk Rating</w:t>
            </w:r>
          </w:p>
          <w:p w:rsidR="00D10AA8" w:rsidRPr="00334F60" w:rsidRDefault="00D10AA8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2x2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Risk Level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Control Measures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Risk Rating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Residual Risk Level</w:t>
            </w:r>
          </w:p>
        </w:tc>
      </w:tr>
      <w:tr w:rsidR="00334F60" w:rsidTr="00334F60">
        <w:tc>
          <w:tcPr>
            <w:tcW w:w="567" w:type="dxa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552" w:type="dxa"/>
          </w:tcPr>
          <w:p w:rsid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D10AA8" w:rsidRPr="00334F60" w:rsidRDefault="00D10AA8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:rsidR="00334F60" w:rsidRPr="00334F60" w:rsidRDefault="00334F60" w:rsidP="00D10AA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86769C" w:rsidRPr="00334F60" w:rsidRDefault="0086769C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334F60" w:rsidTr="00334F60">
        <w:tc>
          <w:tcPr>
            <w:tcW w:w="567" w:type="dxa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552" w:type="dxa"/>
          </w:tcPr>
          <w:p w:rsid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D10AA8" w:rsidRPr="00334F60" w:rsidRDefault="00D10AA8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:rsidR="0086769C" w:rsidRPr="00334F60" w:rsidRDefault="0086769C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34F60" w:rsidRPr="00334F60" w:rsidRDefault="00334F60" w:rsidP="0086769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B70749" w:rsidRPr="00B70749" w:rsidRDefault="00B70749" w:rsidP="00D10AA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334F60" w:rsidTr="00334F60">
        <w:tc>
          <w:tcPr>
            <w:tcW w:w="567" w:type="dxa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552" w:type="dxa"/>
          </w:tcPr>
          <w:p w:rsid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D10AA8" w:rsidRPr="00334F60" w:rsidRDefault="00D10AA8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:rsidR="00B70749" w:rsidRPr="00B70749" w:rsidRDefault="00B70749" w:rsidP="00B70749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334F60" w:rsidRPr="00334F60" w:rsidRDefault="00334F60" w:rsidP="00B7074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334F60" w:rsidTr="00334F60">
        <w:tc>
          <w:tcPr>
            <w:tcW w:w="567" w:type="dxa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552" w:type="dxa"/>
          </w:tcPr>
          <w:p w:rsidR="006E7879" w:rsidRDefault="006E7879" w:rsidP="00D10AA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D10AA8" w:rsidRPr="006E7879" w:rsidRDefault="00D10AA8" w:rsidP="00D10AA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5E4599" w:rsidRPr="006E7879" w:rsidRDefault="005E4599" w:rsidP="00D10AA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334F60" w:rsidTr="00334F60">
        <w:tc>
          <w:tcPr>
            <w:tcW w:w="567" w:type="dxa"/>
          </w:tcPr>
          <w:p w:rsidR="00334F60" w:rsidRPr="00334F60" w:rsidRDefault="00334F60" w:rsidP="00334F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34F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552" w:type="dxa"/>
          </w:tcPr>
          <w:p w:rsid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D10AA8" w:rsidRPr="00334F60" w:rsidRDefault="00D10AA8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:rsidR="005E4599" w:rsidRPr="00687B17" w:rsidRDefault="005E4599" w:rsidP="00687B17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5E4599" w:rsidRPr="005E4599" w:rsidRDefault="005E4599" w:rsidP="00D10AA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334F60" w:rsidRPr="00334F60" w:rsidRDefault="00334F60" w:rsidP="007A017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C362D6" w:rsidRDefault="00C362D6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p w:rsidR="007A017A" w:rsidRPr="007A017A" w:rsidRDefault="007A017A" w:rsidP="007A017A">
      <w:pPr>
        <w:spacing w:after="0" w:line="240" w:lineRule="auto"/>
        <w:rPr>
          <w:sz w:val="24"/>
          <w:szCs w:val="24"/>
          <w:lang w:val="en-US"/>
        </w:rPr>
      </w:pPr>
    </w:p>
    <w:sectPr w:rsidR="007A017A" w:rsidRPr="007A017A" w:rsidSect="007A017A">
      <w:footerReference w:type="default" r:id="rId8"/>
      <w:headerReference w:type="first" r:id="rId9"/>
      <w:footerReference w:type="first" r:id="rId10"/>
      <w:pgSz w:w="16838" w:h="11906" w:orient="landscape"/>
      <w:pgMar w:top="1276" w:right="1440" w:bottom="1133" w:left="1440" w:header="568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95" w:rsidRDefault="00C14A95" w:rsidP="00291A34">
      <w:pPr>
        <w:spacing w:after="0" w:line="240" w:lineRule="auto"/>
      </w:pPr>
      <w:r>
        <w:separator/>
      </w:r>
    </w:p>
  </w:endnote>
  <w:endnote w:type="continuationSeparator" w:id="0">
    <w:p w:rsidR="00C14A95" w:rsidRDefault="00C14A95" w:rsidP="0029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113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0AA8" w:rsidRDefault="00D10AA8" w:rsidP="00D10AA8">
        <w:pPr>
          <w:pStyle w:val="Footer"/>
        </w:pPr>
        <w:r>
          <w:t>H&amp;S/RA/</w:t>
        </w:r>
        <w:r w:rsidRPr="00D10AA8">
          <w:t xml:space="preserve"> S:\Operations\Quality Governance\He</w:t>
        </w:r>
        <w:r>
          <w:t>alth &amp; Safety\H&amp;S Templates Dec</w:t>
        </w:r>
        <w:r w:rsidRPr="00D10AA8">
          <w:t xml:space="preserve"> 19</w:t>
        </w:r>
        <w:r>
          <w:t>/V2.0)</w:t>
        </w:r>
      </w:p>
      <w:p w:rsidR="00DE204D" w:rsidRDefault="008831D0" w:rsidP="00D10AA8">
        <w:pPr>
          <w:pStyle w:val="Footer"/>
          <w:tabs>
            <w:tab w:val="clear" w:pos="4513"/>
            <w:tab w:val="clear" w:pos="9026"/>
            <w:tab w:val="left" w:pos="12480"/>
          </w:tabs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D0" w:rsidRPr="00837EC5" w:rsidRDefault="008831D0" w:rsidP="008831D0">
    <w:pPr>
      <w:pStyle w:val="Footer"/>
      <w:rPr>
        <w:lang w:val="en-US"/>
      </w:rPr>
    </w:pPr>
    <w:proofErr w:type="spellStart"/>
    <w:r>
      <w:rPr>
        <w:lang w:val="en-US"/>
      </w:rPr>
      <w:t>RATemplate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SDineley</w:t>
    </w:r>
    <w:proofErr w:type="spellEnd"/>
    <w:r>
      <w:rPr>
        <w:lang w:val="en-US"/>
      </w:rPr>
      <w:t>:</w:t>
    </w:r>
    <w:r w:rsidRPr="00837EC5">
      <w:t xml:space="preserve"> </w:t>
    </w:r>
    <w:r w:rsidRPr="00837EC5">
      <w:rPr>
        <w:lang w:val="en-US"/>
      </w:rPr>
      <w:t>\\uc24.local\Shared\Operations\Quality Governance\Hea</w:t>
    </w:r>
    <w:r>
      <w:rPr>
        <w:lang w:val="en-US"/>
      </w:rPr>
      <w:t>lth &amp; Safety\H&amp;S Templates Dec</w:t>
    </w:r>
    <w:r w:rsidRPr="00837EC5">
      <w:rPr>
        <w:lang w:val="en-US"/>
      </w:rPr>
      <w:t>19</w:t>
    </w:r>
    <w:r>
      <w:rPr>
        <w:lang w:val="en-US"/>
      </w:rPr>
      <w:t>:V1.0</w:t>
    </w:r>
  </w:p>
  <w:p w:rsidR="00DE204D" w:rsidRDefault="00DE2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95" w:rsidRDefault="00C14A95" w:rsidP="00291A34">
      <w:pPr>
        <w:spacing w:after="0" w:line="240" w:lineRule="auto"/>
      </w:pPr>
      <w:r>
        <w:separator/>
      </w:r>
    </w:p>
  </w:footnote>
  <w:footnote w:type="continuationSeparator" w:id="0">
    <w:p w:rsidR="00C14A95" w:rsidRDefault="00C14A95" w:rsidP="0029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04D" w:rsidRDefault="00B26713" w:rsidP="00381BBC">
    <w:pPr>
      <w:pStyle w:val="Header"/>
      <w:tabs>
        <w:tab w:val="clear" w:pos="9026"/>
        <w:tab w:val="right" w:pos="8931"/>
      </w:tabs>
      <w:ind w:right="-295" w:hanging="284"/>
      <w:jc w:val="right"/>
    </w:pPr>
    <w:r>
      <w:rPr>
        <w:noProof/>
        <w:lang w:val="en-US"/>
      </w:rPr>
      <w:drawing>
        <wp:inline distT="0" distB="0" distL="0" distR="0">
          <wp:extent cx="1876425" cy="347122"/>
          <wp:effectExtent l="0" t="0" r="0" b="0"/>
          <wp:docPr id="28" name="Picture 28" descr="S:\PC24 Official Templates\PC24 Official Templates and Logos\PC24 Logos\RGB\7399_PrimaryCare24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24 Official Templates\PC24 Official Templates and Logos\PC24 Logos\RGB\7399_PrimaryCare24_Fina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051" cy="34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C9B" w:rsidRPr="00C64C9B" w:rsidRDefault="00C64C9B" w:rsidP="00C64C9B">
    <w:pPr>
      <w:pStyle w:val="Header"/>
      <w:tabs>
        <w:tab w:val="clear" w:pos="9026"/>
        <w:tab w:val="right" w:pos="8931"/>
      </w:tabs>
      <w:jc w:val="right"/>
      <w:rPr>
        <w:rFonts w:ascii="Arial Narrow" w:hAnsi="Arial Narrow"/>
        <w:b/>
        <w:color w:val="365F91" w:themeColor="accent1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3ED"/>
    <w:multiLevelType w:val="hybridMultilevel"/>
    <w:tmpl w:val="788E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3DCE"/>
    <w:multiLevelType w:val="hybridMultilevel"/>
    <w:tmpl w:val="9CF6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33BFE"/>
    <w:multiLevelType w:val="hybridMultilevel"/>
    <w:tmpl w:val="863A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0EB9"/>
    <w:multiLevelType w:val="hybridMultilevel"/>
    <w:tmpl w:val="0BD09496"/>
    <w:lvl w:ilvl="0" w:tplc="6AE8D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F663C"/>
    <w:multiLevelType w:val="hybridMultilevel"/>
    <w:tmpl w:val="BEA8C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9F63E8"/>
    <w:multiLevelType w:val="hybridMultilevel"/>
    <w:tmpl w:val="FE0A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44117"/>
    <w:multiLevelType w:val="hybridMultilevel"/>
    <w:tmpl w:val="E3A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61100"/>
    <w:multiLevelType w:val="hybridMultilevel"/>
    <w:tmpl w:val="DB50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47446"/>
    <w:multiLevelType w:val="hybridMultilevel"/>
    <w:tmpl w:val="C0D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56A95"/>
    <w:multiLevelType w:val="hybridMultilevel"/>
    <w:tmpl w:val="435E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44CC5"/>
    <w:multiLevelType w:val="hybridMultilevel"/>
    <w:tmpl w:val="D69A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23"/>
    <w:rsid w:val="00003D6F"/>
    <w:rsid w:val="00034030"/>
    <w:rsid w:val="0006509D"/>
    <w:rsid w:val="00091AAA"/>
    <w:rsid w:val="000C13E5"/>
    <w:rsid w:val="000C7190"/>
    <w:rsid w:val="000F193C"/>
    <w:rsid w:val="00127001"/>
    <w:rsid w:val="00137A13"/>
    <w:rsid w:val="00154B53"/>
    <w:rsid w:val="0016756A"/>
    <w:rsid w:val="00196CC5"/>
    <w:rsid w:val="00225846"/>
    <w:rsid w:val="00267A16"/>
    <w:rsid w:val="002811CE"/>
    <w:rsid w:val="00291A34"/>
    <w:rsid w:val="0030612D"/>
    <w:rsid w:val="00330837"/>
    <w:rsid w:val="00334F60"/>
    <w:rsid w:val="00353330"/>
    <w:rsid w:val="00356819"/>
    <w:rsid w:val="00367608"/>
    <w:rsid w:val="00381BBC"/>
    <w:rsid w:val="003D1B01"/>
    <w:rsid w:val="003D4180"/>
    <w:rsid w:val="003E185B"/>
    <w:rsid w:val="003E713F"/>
    <w:rsid w:val="003F3189"/>
    <w:rsid w:val="004015DB"/>
    <w:rsid w:val="004106CB"/>
    <w:rsid w:val="0043687D"/>
    <w:rsid w:val="00456700"/>
    <w:rsid w:val="00461363"/>
    <w:rsid w:val="00466F06"/>
    <w:rsid w:val="0047243A"/>
    <w:rsid w:val="004A3F1F"/>
    <w:rsid w:val="0054223E"/>
    <w:rsid w:val="00561C78"/>
    <w:rsid w:val="00564DE7"/>
    <w:rsid w:val="005E1B4D"/>
    <w:rsid w:val="005E4599"/>
    <w:rsid w:val="005E5A3A"/>
    <w:rsid w:val="005F759D"/>
    <w:rsid w:val="0063674E"/>
    <w:rsid w:val="006853BB"/>
    <w:rsid w:val="00687B17"/>
    <w:rsid w:val="00690216"/>
    <w:rsid w:val="0069378D"/>
    <w:rsid w:val="006E46B2"/>
    <w:rsid w:val="006E7879"/>
    <w:rsid w:val="007137D0"/>
    <w:rsid w:val="00714F71"/>
    <w:rsid w:val="007206C7"/>
    <w:rsid w:val="007A017A"/>
    <w:rsid w:val="007A271F"/>
    <w:rsid w:val="007C77C8"/>
    <w:rsid w:val="008509AE"/>
    <w:rsid w:val="008611E2"/>
    <w:rsid w:val="0086769C"/>
    <w:rsid w:val="0087580E"/>
    <w:rsid w:val="008831D0"/>
    <w:rsid w:val="008A1295"/>
    <w:rsid w:val="008E4A14"/>
    <w:rsid w:val="008E71ED"/>
    <w:rsid w:val="00904BC9"/>
    <w:rsid w:val="009100ED"/>
    <w:rsid w:val="00963180"/>
    <w:rsid w:val="009C51CA"/>
    <w:rsid w:val="00A65104"/>
    <w:rsid w:val="00A74023"/>
    <w:rsid w:val="00A774F4"/>
    <w:rsid w:val="00A86FF6"/>
    <w:rsid w:val="00AA66F6"/>
    <w:rsid w:val="00AA68BD"/>
    <w:rsid w:val="00AB4F9E"/>
    <w:rsid w:val="00AD4B9A"/>
    <w:rsid w:val="00AE3A19"/>
    <w:rsid w:val="00B26713"/>
    <w:rsid w:val="00B359A3"/>
    <w:rsid w:val="00B505D6"/>
    <w:rsid w:val="00B70749"/>
    <w:rsid w:val="00B960EC"/>
    <w:rsid w:val="00BA4565"/>
    <w:rsid w:val="00BE5EEA"/>
    <w:rsid w:val="00C05630"/>
    <w:rsid w:val="00C14A95"/>
    <w:rsid w:val="00C362D6"/>
    <w:rsid w:val="00C43E6A"/>
    <w:rsid w:val="00C64C9B"/>
    <w:rsid w:val="00C8083F"/>
    <w:rsid w:val="00C90FAD"/>
    <w:rsid w:val="00CF3E5D"/>
    <w:rsid w:val="00D00655"/>
    <w:rsid w:val="00D04B8D"/>
    <w:rsid w:val="00D10AA8"/>
    <w:rsid w:val="00D1392E"/>
    <w:rsid w:val="00D56B72"/>
    <w:rsid w:val="00D60B41"/>
    <w:rsid w:val="00DC55EF"/>
    <w:rsid w:val="00DD5DA2"/>
    <w:rsid w:val="00DE204D"/>
    <w:rsid w:val="00E03661"/>
    <w:rsid w:val="00E21598"/>
    <w:rsid w:val="00E32902"/>
    <w:rsid w:val="00E33694"/>
    <w:rsid w:val="00E576C2"/>
    <w:rsid w:val="00E9634C"/>
    <w:rsid w:val="00EB620F"/>
    <w:rsid w:val="00EF19F9"/>
    <w:rsid w:val="00EF2A88"/>
    <w:rsid w:val="00EF5F00"/>
    <w:rsid w:val="00F0199D"/>
    <w:rsid w:val="00F458A3"/>
    <w:rsid w:val="00F62076"/>
    <w:rsid w:val="00F651A4"/>
    <w:rsid w:val="00F72378"/>
    <w:rsid w:val="00F81531"/>
    <w:rsid w:val="00F87563"/>
    <w:rsid w:val="00FA1CC5"/>
    <w:rsid w:val="00FA609A"/>
    <w:rsid w:val="00FB1C73"/>
    <w:rsid w:val="00FC129E"/>
    <w:rsid w:val="00FD222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7AAA0B0-3DE1-4647-BA5B-65A7616C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0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34"/>
  </w:style>
  <w:style w:type="paragraph" w:styleId="Footer">
    <w:name w:val="footer"/>
    <w:basedOn w:val="Normal"/>
    <w:link w:val="FooterChar"/>
    <w:uiPriority w:val="99"/>
    <w:unhideWhenUsed/>
    <w:rsid w:val="00291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34"/>
  </w:style>
  <w:style w:type="paragraph" w:styleId="NoSpacing">
    <w:name w:val="No Spacing"/>
    <w:uiPriority w:val="1"/>
    <w:qFormat/>
    <w:rsid w:val="00A86F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B4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B41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D1B01"/>
    <w:pPr>
      <w:ind w:left="720"/>
      <w:contextualSpacing/>
    </w:pPr>
  </w:style>
  <w:style w:type="paragraph" w:styleId="Salutation">
    <w:name w:val="Salutation"/>
    <w:basedOn w:val="Normal"/>
    <w:link w:val="SalutationChar"/>
    <w:uiPriority w:val="99"/>
    <w:semiHidden/>
    <w:unhideWhenUsed/>
    <w:rsid w:val="004A3F1F"/>
    <w:pPr>
      <w:spacing w:before="200" w:after="220" w:line="240" w:lineRule="auto"/>
      <w:jc w:val="both"/>
    </w:pPr>
    <w:rPr>
      <w:rFonts w:ascii="Arial" w:eastAsiaTheme="minorHAnsi" w:hAnsi="Arial" w:cs="Arial"/>
      <w:sz w:val="20"/>
      <w:szCs w:val="20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A3F1F"/>
    <w:rPr>
      <w:rFonts w:ascii="Arial" w:eastAsiaTheme="minorHAnsi" w:hAnsi="Arial" w:cs="Arial"/>
      <w:lang w:eastAsia="zh-CN"/>
    </w:rPr>
  </w:style>
  <w:style w:type="paragraph" w:customStyle="1" w:styleId="BodyofLetter">
    <w:name w:val="Body of Letter"/>
    <w:basedOn w:val="Normal"/>
    <w:uiPriority w:val="99"/>
    <w:rsid w:val="004A3F1F"/>
    <w:pPr>
      <w:spacing w:before="240" w:after="0" w:line="240" w:lineRule="auto"/>
      <w:jc w:val="both"/>
    </w:pPr>
    <w:rPr>
      <w:rFonts w:ascii="Arial" w:eastAsiaTheme="minorHAnsi" w:hAnsi="Arial" w:cs="Arial"/>
      <w:sz w:val="20"/>
      <w:szCs w:val="20"/>
      <w:lang w:eastAsia="zh-CN"/>
    </w:rPr>
  </w:style>
  <w:style w:type="paragraph" w:customStyle="1" w:styleId="Subject">
    <w:name w:val="Subject"/>
    <w:basedOn w:val="Normal"/>
    <w:uiPriority w:val="99"/>
    <w:rsid w:val="004A3F1F"/>
    <w:pPr>
      <w:spacing w:after="0" w:line="240" w:lineRule="auto"/>
      <w:jc w:val="both"/>
    </w:pPr>
    <w:rPr>
      <w:rFonts w:ascii="Arial" w:eastAsiaTheme="minorHAnsi" w:hAnsi="Arial" w:cs="Arial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D5DA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A0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yc\Desktop\UC24%20Letterhead%20Nov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DD961-338A-4A2B-A382-1887A5008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B04DE-4021-4D7F-A7CF-05BB19D41C00}"/>
</file>

<file path=customXml/itemProps3.xml><?xml version="1.0" encoding="utf-8"?>
<ds:datastoreItem xmlns:ds="http://schemas.openxmlformats.org/officeDocument/2006/customXml" ds:itemID="{12A1A533-4B8E-4B4E-B452-F2EC9D97248C}"/>
</file>

<file path=customXml/itemProps4.xml><?xml version="1.0" encoding="utf-8"?>
<ds:datastoreItem xmlns:ds="http://schemas.openxmlformats.org/officeDocument/2006/customXml" ds:itemID="{307D5B47-2056-4985-8AF1-8BB88070E134}"/>
</file>

<file path=docProps/app.xml><?xml version="1.0" encoding="utf-8"?>
<Properties xmlns="http://schemas.openxmlformats.org/officeDocument/2006/extended-properties" xmlns:vt="http://schemas.openxmlformats.org/officeDocument/2006/docPropsVTypes">
  <Template>UC24 Letterhead Nov 2013</Template>
  <TotalTime>56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Harry</dc:creator>
  <cp:keywords/>
  <dc:description/>
  <cp:lastModifiedBy>Sheila Dineley</cp:lastModifiedBy>
  <cp:revision>5</cp:revision>
  <cp:lastPrinted>2019-07-09T14:07:00Z</cp:lastPrinted>
  <dcterms:created xsi:type="dcterms:W3CDTF">2019-12-11T12:58:00Z</dcterms:created>
  <dcterms:modified xsi:type="dcterms:W3CDTF">2020-02-25T11:32:00Z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