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DAF" w:rsidRDefault="00BF0DAF" w:rsidP="009E14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35"/>
        </w:tabs>
        <w:rPr>
          <w:b/>
        </w:rPr>
      </w:pPr>
    </w:p>
    <w:p w:rsidR="00E85DE2" w:rsidRDefault="00E85DE2" w:rsidP="009E14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35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5589"/>
      </w:tblGrid>
      <w:tr w:rsidR="00BF0DAF" w:rsidTr="00BF0DAF">
        <w:tc>
          <w:tcPr>
            <w:tcW w:w="8359" w:type="dxa"/>
          </w:tcPr>
          <w:p w:rsidR="00BF0DAF" w:rsidRPr="00EE0A24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0A24">
              <w:rPr>
                <w:rFonts w:ascii="Arial" w:hAnsi="Arial" w:cs="Arial"/>
                <w:b/>
                <w:sz w:val="24"/>
                <w:szCs w:val="24"/>
              </w:rPr>
              <w:t>Location/site:</w:t>
            </w:r>
          </w:p>
        </w:tc>
        <w:tc>
          <w:tcPr>
            <w:tcW w:w="5589" w:type="dxa"/>
          </w:tcPr>
          <w:p w:rsidR="00BF0DAF" w:rsidRPr="00EE0A24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0A24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</w:tr>
      <w:tr w:rsidR="00BF0DAF" w:rsidTr="00BF0DAF">
        <w:tc>
          <w:tcPr>
            <w:tcW w:w="8359" w:type="dxa"/>
          </w:tcPr>
          <w:p w:rsidR="00BF0DAF" w:rsidRPr="00EE0A24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0A24">
              <w:rPr>
                <w:rFonts w:ascii="Arial" w:hAnsi="Arial" w:cs="Arial"/>
                <w:b/>
                <w:sz w:val="24"/>
                <w:szCs w:val="24"/>
              </w:rPr>
              <w:t>Completed by:</w:t>
            </w:r>
          </w:p>
        </w:tc>
        <w:tc>
          <w:tcPr>
            <w:tcW w:w="5589" w:type="dxa"/>
          </w:tcPr>
          <w:p w:rsidR="00BF0DAF" w:rsidRPr="00EE0A24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0A24">
              <w:rPr>
                <w:rFonts w:ascii="Arial" w:hAnsi="Arial" w:cs="Arial"/>
                <w:b/>
                <w:sz w:val="24"/>
                <w:szCs w:val="24"/>
              </w:rPr>
              <w:t>Review Date:</w:t>
            </w:r>
          </w:p>
        </w:tc>
      </w:tr>
      <w:tr w:rsidR="00BF0DAF" w:rsidTr="00BF0DAF">
        <w:tc>
          <w:tcPr>
            <w:tcW w:w="8359" w:type="dxa"/>
          </w:tcPr>
          <w:p w:rsidR="00BF0DAF" w:rsidRPr="00EE0A24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0A24">
              <w:rPr>
                <w:rFonts w:ascii="Arial" w:hAnsi="Arial" w:cs="Arial"/>
                <w:b/>
                <w:sz w:val="24"/>
                <w:szCs w:val="24"/>
              </w:rPr>
              <w:t>Staff Name</w:t>
            </w:r>
            <w:r w:rsidR="00B9422A" w:rsidRPr="00EE0A24">
              <w:rPr>
                <w:rFonts w:ascii="Arial" w:hAnsi="Arial" w:cs="Arial"/>
                <w:b/>
                <w:sz w:val="24"/>
                <w:szCs w:val="24"/>
              </w:rPr>
              <w:t>(s):</w:t>
            </w:r>
          </w:p>
          <w:p w:rsidR="00E85DE2" w:rsidRPr="00EE0A24" w:rsidRDefault="00E85DE2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9" w:type="dxa"/>
          </w:tcPr>
          <w:p w:rsidR="00BF0DAF" w:rsidRPr="00EE0A24" w:rsidRDefault="00BF0DAF" w:rsidP="009E149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94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EE0A24">
              <w:rPr>
                <w:rFonts w:ascii="Arial" w:hAnsi="Arial" w:cs="Arial"/>
                <w:b/>
                <w:sz w:val="24"/>
                <w:szCs w:val="24"/>
              </w:rPr>
              <w:t>Staff Role</w:t>
            </w:r>
            <w:r w:rsidR="005C7EB1" w:rsidRPr="00EE0A24">
              <w:rPr>
                <w:rFonts w:ascii="Arial" w:hAnsi="Arial" w:cs="Arial"/>
                <w:b/>
                <w:sz w:val="24"/>
                <w:szCs w:val="24"/>
              </w:rPr>
              <w:t>(s)</w:t>
            </w:r>
            <w:r w:rsidRPr="00EE0A2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:rsidR="00E85DE2" w:rsidRDefault="00225A65" w:rsidP="009E14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435"/>
        </w:tabs>
        <w:rPr>
          <w:b/>
        </w:rPr>
      </w:pPr>
      <w:r>
        <w:rPr>
          <w:b/>
        </w:rPr>
        <w:t xml:space="preserve">  </w:t>
      </w:r>
      <w:r w:rsidR="009E149E">
        <w:rPr>
          <w:b/>
        </w:rPr>
        <w:t xml:space="preserve"> </w:t>
      </w:r>
    </w:p>
    <w:p w:rsidR="005406FD" w:rsidRPr="0019013F" w:rsidRDefault="004A489C" w:rsidP="004A489C">
      <w:pPr>
        <w:pStyle w:val="NormalWeb"/>
        <w:spacing w:after="0"/>
        <w:rPr>
          <w:rStyle w:val="Strong"/>
          <w:rFonts w:ascii="Arial" w:hAnsi="Arial" w:cs="Arial"/>
          <w:b w:val="0"/>
          <w:lang w:val="en"/>
        </w:rPr>
      </w:pPr>
      <w:r w:rsidRPr="00165137">
        <w:rPr>
          <w:rFonts w:ascii="Arial" w:hAnsi="Arial" w:cs="Arial"/>
          <w:lang w:val="en"/>
        </w:rPr>
        <w:t>M</w:t>
      </w:r>
      <w:r w:rsidRPr="00165137">
        <w:rPr>
          <w:rFonts w:ascii="Arial" w:hAnsi="Arial" w:cs="Arial"/>
          <w:lang w:val="en"/>
        </w:rPr>
        <w:t>anual handling is defined as:</w:t>
      </w:r>
      <w:r w:rsidRPr="00165137">
        <w:rPr>
          <w:rFonts w:ascii="Arial" w:hAnsi="Arial" w:cs="Arial"/>
          <w:lang w:val="en"/>
        </w:rPr>
        <w:t xml:space="preserve"> </w:t>
      </w:r>
      <w:r w:rsidRPr="00165137">
        <w:rPr>
          <w:rStyle w:val="Strong"/>
          <w:rFonts w:ascii="Arial" w:hAnsi="Arial" w:cs="Arial"/>
          <w:lang w:val="en"/>
        </w:rPr>
        <w:t xml:space="preserve"> </w:t>
      </w:r>
      <w:r w:rsidR="005406FD" w:rsidRPr="00165137">
        <w:rPr>
          <w:rStyle w:val="Strong"/>
          <w:rFonts w:ascii="Arial" w:hAnsi="Arial" w:cs="Arial"/>
          <w:lang w:val="en"/>
        </w:rPr>
        <w:t>‘...any transporting or supporting of a load (including the lifting, putting down, pushing, pulling, carrying or moving thereof) by hand or bodily force’</w:t>
      </w:r>
      <w:r w:rsidR="0019013F">
        <w:rPr>
          <w:rStyle w:val="Strong"/>
          <w:rFonts w:ascii="Arial" w:hAnsi="Arial" w:cs="Arial"/>
          <w:lang w:val="en"/>
        </w:rPr>
        <w:t xml:space="preserve"> </w:t>
      </w:r>
      <w:r w:rsidR="0019013F">
        <w:rPr>
          <w:rStyle w:val="Strong"/>
          <w:rFonts w:ascii="Arial" w:hAnsi="Arial" w:cs="Arial"/>
          <w:b w:val="0"/>
          <w:lang w:val="en"/>
        </w:rPr>
        <w:t>(</w:t>
      </w:r>
      <w:r w:rsidR="0019013F" w:rsidRPr="0019013F">
        <w:rPr>
          <w:rStyle w:val="Strong"/>
          <w:rFonts w:ascii="Arial" w:hAnsi="Arial" w:cs="Arial"/>
          <w:b w:val="0"/>
          <w:i/>
          <w:lang w:val="en"/>
        </w:rPr>
        <w:t>The Manual Handling Operations Regulations 1992</w:t>
      </w:r>
      <w:r w:rsidR="0019013F">
        <w:rPr>
          <w:rStyle w:val="Strong"/>
          <w:rFonts w:ascii="Arial" w:hAnsi="Arial" w:cs="Arial"/>
          <w:b w:val="0"/>
          <w:lang w:val="en"/>
        </w:rPr>
        <w:t>)</w:t>
      </w:r>
    </w:p>
    <w:p w:rsidR="004A489C" w:rsidRPr="00165137" w:rsidRDefault="004A489C" w:rsidP="004A489C">
      <w:pPr>
        <w:pStyle w:val="NormalWeb"/>
        <w:spacing w:after="0"/>
        <w:rPr>
          <w:rStyle w:val="Strong"/>
          <w:rFonts w:ascii="Arial" w:hAnsi="Arial" w:cs="Arial"/>
          <w:lang w:val="en"/>
        </w:rPr>
      </w:pPr>
    </w:p>
    <w:p w:rsidR="004A489C" w:rsidRPr="00165137" w:rsidRDefault="004A489C" w:rsidP="004A489C">
      <w:pPr>
        <w:pStyle w:val="NormalWeb"/>
        <w:spacing w:after="0"/>
        <w:rPr>
          <w:rStyle w:val="Strong"/>
          <w:rFonts w:ascii="Arial" w:hAnsi="Arial" w:cs="Arial"/>
          <w:b w:val="0"/>
          <w:lang w:val="en"/>
        </w:rPr>
      </w:pPr>
      <w:r w:rsidRPr="00165137">
        <w:rPr>
          <w:rStyle w:val="Strong"/>
          <w:rFonts w:ascii="Arial" w:hAnsi="Arial" w:cs="Arial"/>
          <w:b w:val="0"/>
          <w:lang w:val="en"/>
        </w:rPr>
        <w:t>Manual handling is an activity that takes place in most workplaces – office workers do not often have to lift or carry loads on a daily basis, but they will do on occas</w:t>
      </w:r>
      <w:bookmarkStart w:id="0" w:name="_GoBack"/>
      <w:bookmarkEnd w:id="0"/>
      <w:r w:rsidRPr="00165137">
        <w:rPr>
          <w:rStyle w:val="Strong"/>
          <w:rFonts w:ascii="Arial" w:hAnsi="Arial" w:cs="Arial"/>
          <w:b w:val="0"/>
          <w:lang w:val="en"/>
        </w:rPr>
        <w:t>ions.    Manual handling activities generate the possibility of injuries, most of which are musculoskeletal injuries.  Common types of manual handling injuries include; back injury, tendon and ligament injuries, muscle injuries</w:t>
      </w:r>
      <w:r w:rsidR="00BA63DE" w:rsidRPr="00165137">
        <w:rPr>
          <w:rStyle w:val="Strong"/>
          <w:rFonts w:ascii="Arial" w:hAnsi="Arial" w:cs="Arial"/>
          <w:b w:val="0"/>
          <w:lang w:val="en"/>
        </w:rPr>
        <w:t xml:space="preserve">, hernias, </w:t>
      </w:r>
      <w:r w:rsidR="008319D3" w:rsidRPr="00165137">
        <w:rPr>
          <w:rStyle w:val="Strong"/>
          <w:rFonts w:ascii="Arial" w:hAnsi="Arial" w:cs="Arial"/>
          <w:b w:val="0"/>
          <w:lang w:val="en"/>
        </w:rPr>
        <w:t>and chronic</w:t>
      </w:r>
      <w:r w:rsidR="00BA63DE" w:rsidRPr="00165137">
        <w:rPr>
          <w:rStyle w:val="Strong"/>
          <w:rFonts w:ascii="Arial" w:hAnsi="Arial" w:cs="Arial"/>
          <w:b w:val="0"/>
          <w:lang w:val="en"/>
        </w:rPr>
        <w:t xml:space="preserve"> soft-tissue injuries to the upper arms, wrists and hands as a result of repetitive movements and cuts, burns, dislocation and broken bones.</w:t>
      </w:r>
    </w:p>
    <w:p w:rsidR="00BA63DE" w:rsidRPr="00165137" w:rsidRDefault="00BA63DE" w:rsidP="004A489C">
      <w:pPr>
        <w:pStyle w:val="NormalWeb"/>
        <w:spacing w:after="0"/>
        <w:rPr>
          <w:rStyle w:val="Strong"/>
          <w:rFonts w:ascii="Arial" w:hAnsi="Arial" w:cs="Arial"/>
          <w:b w:val="0"/>
          <w:lang w:val="en"/>
        </w:rPr>
      </w:pPr>
    </w:p>
    <w:p w:rsidR="00BA63DE" w:rsidRPr="00165137" w:rsidRDefault="00BA63DE" w:rsidP="004A489C">
      <w:pPr>
        <w:pStyle w:val="NormalWeb"/>
        <w:spacing w:after="0"/>
        <w:rPr>
          <w:rStyle w:val="Strong"/>
          <w:rFonts w:ascii="Arial" w:hAnsi="Arial" w:cs="Arial"/>
          <w:b w:val="0"/>
          <w:lang w:val="en"/>
        </w:rPr>
      </w:pPr>
      <w:r w:rsidRPr="00165137">
        <w:rPr>
          <w:rStyle w:val="Strong"/>
          <w:rFonts w:ascii="Arial" w:hAnsi="Arial" w:cs="Arial"/>
          <w:b w:val="0"/>
          <w:lang w:val="en"/>
        </w:rPr>
        <w:t xml:space="preserve">Manual handling activities have to be risk assessed in order to control the risk of injury to the workers undertaking them.  Manual handling risk assessment focuses on four main factors: The </w:t>
      </w:r>
      <w:r w:rsidRPr="00C20C85">
        <w:rPr>
          <w:rStyle w:val="Strong"/>
          <w:rFonts w:ascii="Arial" w:hAnsi="Arial" w:cs="Arial"/>
          <w:lang w:val="en"/>
        </w:rPr>
        <w:t>t</w:t>
      </w:r>
      <w:r w:rsidRPr="00165137">
        <w:rPr>
          <w:rStyle w:val="Strong"/>
          <w:rFonts w:ascii="Arial" w:hAnsi="Arial" w:cs="Arial"/>
          <w:b w:val="0"/>
          <w:lang w:val="en"/>
        </w:rPr>
        <w:t xml:space="preserve">ask, the </w:t>
      </w:r>
      <w:r w:rsidRPr="00C20C85">
        <w:rPr>
          <w:rStyle w:val="Strong"/>
          <w:rFonts w:ascii="Arial" w:hAnsi="Arial" w:cs="Arial"/>
          <w:lang w:val="en"/>
        </w:rPr>
        <w:t>i</w:t>
      </w:r>
      <w:r w:rsidRPr="00165137">
        <w:rPr>
          <w:rStyle w:val="Strong"/>
          <w:rFonts w:ascii="Arial" w:hAnsi="Arial" w:cs="Arial"/>
          <w:b w:val="0"/>
          <w:lang w:val="en"/>
        </w:rPr>
        <w:t xml:space="preserve">ndividual, the </w:t>
      </w:r>
      <w:r w:rsidRPr="00C20C85">
        <w:rPr>
          <w:rStyle w:val="Strong"/>
          <w:rFonts w:ascii="Arial" w:hAnsi="Arial" w:cs="Arial"/>
          <w:lang w:val="en"/>
        </w:rPr>
        <w:t>l</w:t>
      </w:r>
      <w:r w:rsidRPr="00165137">
        <w:rPr>
          <w:rStyle w:val="Strong"/>
          <w:rFonts w:ascii="Arial" w:hAnsi="Arial" w:cs="Arial"/>
          <w:b w:val="0"/>
          <w:lang w:val="en"/>
        </w:rPr>
        <w:t xml:space="preserve">oad, the </w:t>
      </w:r>
      <w:r w:rsidRPr="00C20C85">
        <w:rPr>
          <w:rStyle w:val="Strong"/>
          <w:rFonts w:ascii="Arial" w:hAnsi="Arial" w:cs="Arial"/>
          <w:lang w:val="en"/>
        </w:rPr>
        <w:t>e</w:t>
      </w:r>
      <w:r w:rsidRPr="00165137">
        <w:rPr>
          <w:rStyle w:val="Strong"/>
          <w:rFonts w:ascii="Arial" w:hAnsi="Arial" w:cs="Arial"/>
          <w:b w:val="0"/>
          <w:lang w:val="en"/>
        </w:rPr>
        <w:t xml:space="preserve">nvironment.  </w:t>
      </w:r>
    </w:p>
    <w:p w:rsidR="00BA63DE" w:rsidRPr="00165137" w:rsidRDefault="00BA63DE" w:rsidP="004A489C">
      <w:pPr>
        <w:pStyle w:val="NormalWeb"/>
        <w:spacing w:after="0"/>
        <w:rPr>
          <w:rStyle w:val="Strong"/>
          <w:rFonts w:ascii="Arial" w:hAnsi="Arial" w:cs="Arial"/>
          <w:b w:val="0"/>
          <w:lang w:val="en"/>
        </w:rPr>
      </w:pPr>
    </w:p>
    <w:p w:rsidR="00BA63DE" w:rsidRPr="00165137" w:rsidRDefault="00BA63DE" w:rsidP="004A489C">
      <w:pPr>
        <w:pStyle w:val="NormalWeb"/>
        <w:spacing w:after="0"/>
        <w:rPr>
          <w:rFonts w:ascii="Arial" w:hAnsi="Arial" w:cs="Arial"/>
          <w:b/>
          <w:lang w:val="en"/>
        </w:rPr>
      </w:pPr>
      <w:r w:rsidRPr="00165137">
        <w:rPr>
          <w:rFonts w:ascii="Arial" w:hAnsi="Arial" w:cs="Arial"/>
          <w:b/>
          <w:lang w:val="en"/>
        </w:rPr>
        <w:t>Avoiding or Minimising the Manual Handling Risk</w:t>
      </w:r>
    </w:p>
    <w:p w:rsidR="00165137" w:rsidRPr="00165137" w:rsidRDefault="00165137" w:rsidP="00165137">
      <w:pPr>
        <w:spacing w:before="100" w:beforeAutospacing="1"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R</w:t>
      </w: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educe the risk of injury from hazardous manual handling to as low as reasonably practicable</w:t>
      </w: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:</w:t>
      </w:r>
    </w:p>
    <w:p w:rsidR="005406FD" w:rsidRPr="00165137" w:rsidRDefault="00BA63DE" w:rsidP="004A489C">
      <w:pPr>
        <w:numPr>
          <w:ilvl w:val="0"/>
          <w:numId w:val="1"/>
        </w:numPr>
        <w:spacing w:beforeAutospacing="1"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Elim</w:t>
      </w:r>
      <w:r w:rsidR="00165137"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in</w:t>
      </w: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ate the </w:t>
      </w:r>
      <w:r w:rsidR="005406FD"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hazardous manual handling, </w:t>
      </w:r>
      <w:hyperlink r:id="rId7" w:anchor="q7" w:history="1">
        <w:r w:rsidR="005406FD" w:rsidRPr="00165137">
          <w:rPr>
            <w:rFonts w:ascii="Arial" w:eastAsia="Times New Roman" w:hAnsi="Arial" w:cs="Arial"/>
            <w:color w:val="981E32"/>
            <w:sz w:val="24"/>
            <w:szCs w:val="24"/>
            <w:u w:val="single"/>
            <w:lang w:val="en"/>
          </w:rPr>
          <w:t>so far as is r</w:t>
        </w:r>
        <w:r w:rsidR="005406FD" w:rsidRPr="00165137">
          <w:rPr>
            <w:rFonts w:ascii="Arial" w:eastAsia="Times New Roman" w:hAnsi="Arial" w:cs="Arial"/>
            <w:color w:val="981E32"/>
            <w:sz w:val="24"/>
            <w:szCs w:val="24"/>
            <w:u w:val="single"/>
            <w:lang w:val="en"/>
          </w:rPr>
          <w:t>e</w:t>
        </w:r>
        <w:r w:rsidR="005406FD" w:rsidRPr="00165137">
          <w:rPr>
            <w:rFonts w:ascii="Arial" w:eastAsia="Times New Roman" w:hAnsi="Arial" w:cs="Arial"/>
            <w:color w:val="981E32"/>
            <w:sz w:val="24"/>
            <w:szCs w:val="24"/>
            <w:u w:val="single"/>
            <w:lang w:val="en"/>
          </w:rPr>
          <w:t>asonably practicable</w:t>
        </w:r>
      </w:hyperlink>
      <w:r w:rsidR="005406FD" w:rsidRPr="00165137">
        <w:rPr>
          <w:rFonts w:ascii="Arial" w:eastAsia="Times New Roman" w:hAnsi="Arial" w:cs="Arial"/>
          <w:vanish/>
          <w:color w:val="111111"/>
          <w:sz w:val="24"/>
          <w:szCs w:val="24"/>
          <w:vertAlign w:val="superscript"/>
          <w:lang w:val="en"/>
        </w:rPr>
        <w:t>[7]</w:t>
      </w:r>
    </w:p>
    <w:p w:rsidR="005406FD" w:rsidRPr="00165137" w:rsidRDefault="00BA63DE" w:rsidP="00BA63D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A</w:t>
      </w:r>
      <w:r w:rsidR="005406FD"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ssess the risk of injury from any hazardous manual handling o</w:t>
      </w: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perations that cannot be eliminated</w:t>
      </w:r>
    </w:p>
    <w:p w:rsidR="00BA63DE" w:rsidRPr="00165137" w:rsidRDefault="00BA63DE" w:rsidP="00BA63D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Use handling aids</w:t>
      </w:r>
      <w:r w:rsidR="00C20C85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– where appropriate</w:t>
      </w:r>
    </w:p>
    <w:p w:rsidR="00BA63DE" w:rsidRPr="00165137" w:rsidRDefault="00BA63DE" w:rsidP="00BA63DE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Modify the task, load or environment</w:t>
      </w:r>
    </w:p>
    <w:p w:rsidR="00165137" w:rsidRPr="00165137" w:rsidRDefault="00165137" w:rsidP="00165137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Ensure individual capabilities are matched to the activity (does the activity require unusual ability, </w:t>
      </w:r>
      <w:proofErr w:type="spellStart"/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ie</w:t>
      </w:r>
      <w:proofErr w:type="spellEnd"/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. Strength, stamina size or does the activity present significant risk to vulnerabl</w:t>
      </w:r>
      <w:r w:rsidR="00C20C85">
        <w:rPr>
          <w:rFonts w:ascii="Arial" w:eastAsia="Times New Roman" w:hAnsi="Arial" w:cs="Arial"/>
          <w:color w:val="111111"/>
          <w:sz w:val="24"/>
          <w:szCs w:val="24"/>
          <w:lang w:val="en"/>
        </w:rPr>
        <w:t>e individuals, such as pregnant women</w:t>
      </w: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or existing back problems)</w:t>
      </w:r>
    </w:p>
    <w:p w:rsidR="00165137" w:rsidRPr="00165137" w:rsidRDefault="00165137" w:rsidP="004A489C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</w:p>
    <w:p w:rsidR="005406FD" w:rsidRDefault="005406FD" w:rsidP="004A489C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165137">
        <w:rPr>
          <w:rFonts w:ascii="Arial" w:eastAsia="Times New Roman" w:hAnsi="Arial" w:cs="Arial"/>
          <w:color w:val="111111"/>
          <w:sz w:val="24"/>
          <w:szCs w:val="24"/>
          <w:lang w:val="en"/>
        </w:rPr>
        <w:t>The weight of a load is important, though the law does not set specific weight limits.</w:t>
      </w:r>
    </w:p>
    <w:p w:rsidR="00165137" w:rsidRDefault="00165137" w:rsidP="004A489C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</w:p>
    <w:p w:rsidR="00165137" w:rsidRDefault="00165137" w:rsidP="00165137">
      <w:pPr>
        <w:pStyle w:val="NormalWeb"/>
        <w:spacing w:after="0"/>
        <w:rPr>
          <w:rFonts w:ascii="Arial" w:hAnsi="Arial" w:cs="Arial"/>
          <w:b/>
          <w:lang w:val="en"/>
        </w:rPr>
      </w:pPr>
    </w:p>
    <w:p w:rsidR="00165137" w:rsidRPr="008319D3" w:rsidRDefault="00165137" w:rsidP="00165137">
      <w:pPr>
        <w:pStyle w:val="NormalWeb"/>
        <w:spacing w:after="0"/>
        <w:rPr>
          <w:rFonts w:ascii="Arial" w:hAnsi="Arial" w:cs="Arial"/>
          <w:b/>
          <w:lang w:val="en"/>
        </w:rPr>
      </w:pPr>
      <w:r w:rsidRPr="008319D3">
        <w:rPr>
          <w:rFonts w:ascii="Arial" w:hAnsi="Arial" w:cs="Arial"/>
          <w:b/>
          <w:lang w:val="en"/>
        </w:rPr>
        <w:t xml:space="preserve">Assess manual handling you can’t avoid. </w:t>
      </w:r>
    </w:p>
    <w:p w:rsidR="00165137" w:rsidRPr="008319D3" w:rsidRDefault="00165137" w:rsidP="004A489C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</w:p>
    <w:p w:rsidR="00E0363E" w:rsidRDefault="005406FD" w:rsidP="004A489C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8319D3">
        <w:rPr>
          <w:rFonts w:ascii="Arial" w:eastAsia="Times New Roman" w:hAnsi="Arial" w:cs="Arial"/>
          <w:color w:val="111111"/>
          <w:sz w:val="24"/>
          <w:szCs w:val="24"/>
          <w:lang w:val="en"/>
        </w:rPr>
        <w:t>Assess the risk of injury from any hazardous manual handling operations that cannot be avoided. You should consider the</w:t>
      </w:r>
      <w:r w:rsidR="00E0363E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following:</w:t>
      </w:r>
    </w:p>
    <w:p w:rsidR="00E0363E" w:rsidRDefault="00E0363E" w:rsidP="004A489C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</w:pPr>
    </w:p>
    <w:p w:rsidR="00675510" w:rsidRPr="00675510" w:rsidRDefault="00E0363E" w:rsidP="0067551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</w:pPr>
      <w:r w:rsidRPr="00675510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>T</w:t>
      </w:r>
      <w:r w:rsidR="005406FD" w:rsidRPr="00675510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>ask</w:t>
      </w:r>
      <w:r w:rsidRPr="00675510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 xml:space="preserve"> </w:t>
      </w:r>
    </w:p>
    <w:p w:rsidR="00675510" w:rsidRDefault="00675510" w:rsidP="00675510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the movements required by the person to undertake the task</w:t>
      </w:r>
    </w:p>
    <w:p w:rsidR="00675510" w:rsidRPr="00675510" w:rsidRDefault="00675510" w:rsidP="00675510">
      <w:pPr>
        <w:pStyle w:val="ListParagraph"/>
        <w:spacing w:after="0" w:line="240" w:lineRule="auto"/>
        <w:ind w:left="1440"/>
        <w:rPr>
          <w:rFonts w:ascii="Arial" w:eastAsia="Times New Roman" w:hAnsi="Arial" w:cs="Arial"/>
          <w:color w:val="111111"/>
          <w:sz w:val="24"/>
          <w:szCs w:val="24"/>
          <w:lang w:val="en"/>
        </w:rPr>
      </w:pPr>
    </w:p>
    <w:p w:rsidR="0019013F" w:rsidRDefault="00E0363E" w:rsidP="0067551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</w:pPr>
      <w:r w:rsidRPr="00675510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>Individual</w:t>
      </w:r>
      <w:r w:rsidR="00B24700" w:rsidRPr="00675510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 xml:space="preserve"> capability</w:t>
      </w:r>
    </w:p>
    <w:p w:rsidR="00675510" w:rsidRPr="0019013F" w:rsidRDefault="00904B60" w:rsidP="0019013F">
      <w:pPr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</w:pPr>
      <w:r w:rsidRPr="0019013F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 xml:space="preserve"> </w:t>
      </w:r>
    </w:p>
    <w:p w:rsidR="00675510" w:rsidRDefault="00904B60" w:rsidP="00675510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proofErr w:type="gramStart"/>
      <w:r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does</w:t>
      </w:r>
      <w:proofErr w:type="gramEnd"/>
      <w:r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the activity require unusual ability, e.g. unusual strength, stamina, size or </w:t>
      </w:r>
      <w:r w:rsidR="0067551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technique,  </w:t>
      </w:r>
      <w:r w:rsidR="0067551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the postures adopted</w:t>
      </w:r>
      <w:r w:rsid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.  </w:t>
      </w:r>
    </w:p>
    <w:p w:rsidR="00675510" w:rsidRDefault="00675510" w:rsidP="00675510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>
        <w:rPr>
          <w:rFonts w:ascii="Arial" w:eastAsia="Times New Roman" w:hAnsi="Arial" w:cs="Arial"/>
          <w:color w:val="111111"/>
          <w:sz w:val="24"/>
          <w:szCs w:val="24"/>
          <w:lang w:val="en"/>
        </w:rPr>
        <w:t>h</w:t>
      </w:r>
      <w:r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ow far the load is lifted, lowered or carried</w:t>
      </w:r>
    </w:p>
    <w:p w:rsidR="00675510" w:rsidRDefault="00675510" w:rsidP="00675510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the frequency of the task</w:t>
      </w:r>
    </w:p>
    <w:p w:rsidR="00675510" w:rsidRDefault="00675510" w:rsidP="00675510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the weight of the load</w:t>
      </w:r>
    </w:p>
    <w:p w:rsidR="00675510" w:rsidRPr="00675510" w:rsidRDefault="00675510" w:rsidP="00675510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workers’ strength, fitness and underlying medical conditions (for example a history of back problems)</w:t>
      </w:r>
    </w:p>
    <w:p w:rsidR="00E0363E" w:rsidRDefault="00E0363E" w:rsidP="004A489C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</w:p>
    <w:p w:rsidR="00675510" w:rsidRDefault="00E0363E" w:rsidP="004A48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675510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>L</w:t>
      </w:r>
      <w:r w:rsidR="005406FD" w:rsidRPr="00675510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>oad</w:t>
      </w:r>
      <w:r w:rsidR="00904B6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– </w:t>
      </w:r>
      <w:r w:rsid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The nature of the load. H</w:t>
      </w:r>
      <w:r w:rsidR="00904B6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ow hea</w:t>
      </w:r>
      <w:r w:rsidR="00B2470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vy, bulky, is the load, is </w:t>
      </w:r>
      <w:r w:rsidR="0067551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it stable</w:t>
      </w:r>
      <w:r w:rsidR="00B2470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, where is the </w:t>
      </w:r>
      <w:proofErr w:type="spellStart"/>
      <w:r w:rsidR="00B2470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centre</w:t>
      </w:r>
      <w:proofErr w:type="spellEnd"/>
      <w:r w:rsidR="00B2470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of gravity of the load, is it </w:t>
      </w:r>
      <w:r w:rsidR="0067551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difficult to</w:t>
      </w:r>
      <w:r w:rsidR="00B2470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grab, </w:t>
      </w:r>
      <w:r w:rsidR="0067551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and is</w:t>
      </w:r>
      <w:r w:rsidR="00B2470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it hot, sharp or </w:t>
      </w:r>
      <w:r w:rsidR="0067551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otherwise </w:t>
      </w:r>
      <w:r w:rsidR="00B2470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>hazardous</w:t>
      </w:r>
    </w:p>
    <w:p w:rsidR="00675510" w:rsidRDefault="00675510" w:rsidP="00675510">
      <w:pPr>
        <w:pStyle w:val="ListParagraph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</w:p>
    <w:p w:rsidR="00E0363E" w:rsidRPr="00675510" w:rsidRDefault="00E0363E" w:rsidP="004A489C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val="en"/>
        </w:rPr>
      </w:pPr>
      <w:r w:rsidRPr="00675510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>E</w:t>
      </w:r>
      <w:r w:rsidR="005406FD" w:rsidRPr="00675510">
        <w:rPr>
          <w:rFonts w:ascii="Arial" w:eastAsia="Times New Roman" w:hAnsi="Arial" w:cs="Arial"/>
          <w:b/>
          <w:color w:val="111111"/>
          <w:sz w:val="24"/>
          <w:szCs w:val="24"/>
          <w:lang w:val="en"/>
        </w:rPr>
        <w:t>nvironment</w:t>
      </w:r>
      <w:r w:rsidR="00B24700" w:rsidRPr="00675510">
        <w:rPr>
          <w:rFonts w:ascii="Arial" w:eastAsia="Times New Roman" w:hAnsi="Arial" w:cs="Arial"/>
          <w:color w:val="111111"/>
          <w:sz w:val="24"/>
          <w:szCs w:val="24"/>
          <w:lang w:val="en"/>
        </w:rPr>
        <w:t xml:space="preserve"> – available space, is the floor slippery or uneven, changes in floor level (steps/stairs), light levels, temperature</w:t>
      </w:r>
    </w:p>
    <w:p w:rsidR="00165137" w:rsidRPr="00F57A93" w:rsidRDefault="00165137" w:rsidP="00165137">
      <w:pPr>
        <w:spacing w:before="100" w:beforeAutospacing="1" w:after="0" w:line="240" w:lineRule="auto"/>
        <w:rPr>
          <w:rFonts w:ascii="Arial" w:eastAsia="Times New Roman" w:hAnsi="Arial" w:cs="Arial"/>
          <w:color w:val="111111"/>
          <w:sz w:val="19"/>
          <w:szCs w:val="19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1"/>
        <w:gridCol w:w="2434"/>
        <w:gridCol w:w="2232"/>
        <w:gridCol w:w="2184"/>
        <w:gridCol w:w="2506"/>
        <w:gridCol w:w="1009"/>
        <w:gridCol w:w="804"/>
        <w:gridCol w:w="1218"/>
      </w:tblGrid>
      <w:tr w:rsidR="00AA5362" w:rsidTr="00354F6A">
        <w:tc>
          <w:tcPr>
            <w:tcW w:w="1561" w:type="dxa"/>
            <w:shd w:val="clear" w:color="auto" w:fill="BDD6EE" w:themeFill="accent1" w:themeFillTint="66"/>
          </w:tcPr>
          <w:p w:rsidR="00AA5362" w:rsidRPr="008778DC" w:rsidRDefault="00AA5362" w:rsidP="00AA5362">
            <w:pPr>
              <w:jc w:val="center"/>
              <w:rPr>
                <w:b/>
              </w:rPr>
            </w:pPr>
            <w:r w:rsidRPr="008778DC">
              <w:rPr>
                <w:b/>
              </w:rPr>
              <w:t>What are the Hazards</w:t>
            </w:r>
            <w:r>
              <w:rPr>
                <w:b/>
              </w:rPr>
              <w:t xml:space="preserve"> / threats</w:t>
            </w:r>
            <w:r w:rsidRPr="008778DC">
              <w:rPr>
                <w:b/>
              </w:rPr>
              <w:t>?</w:t>
            </w:r>
          </w:p>
          <w:p w:rsidR="00AA5362" w:rsidRPr="008778DC" w:rsidRDefault="00AA5362" w:rsidP="00AA5362">
            <w:pPr>
              <w:jc w:val="center"/>
              <w:rPr>
                <w:b/>
              </w:rPr>
            </w:pPr>
          </w:p>
        </w:tc>
        <w:tc>
          <w:tcPr>
            <w:tcW w:w="2434" w:type="dxa"/>
            <w:shd w:val="clear" w:color="auto" w:fill="BDD6EE" w:themeFill="accent1" w:themeFillTint="66"/>
          </w:tcPr>
          <w:p w:rsidR="00AA5362" w:rsidRDefault="00AA5362" w:rsidP="00AA5362">
            <w:pPr>
              <w:jc w:val="center"/>
              <w:rPr>
                <w:b/>
              </w:rPr>
            </w:pPr>
          </w:p>
          <w:p w:rsidR="00AA5362" w:rsidRPr="008778DC" w:rsidRDefault="00AA5362" w:rsidP="00AA5362">
            <w:pPr>
              <w:jc w:val="center"/>
              <w:rPr>
                <w:b/>
              </w:rPr>
            </w:pPr>
            <w:r>
              <w:rPr>
                <w:b/>
              </w:rPr>
              <w:t>Who might be harmed</w:t>
            </w:r>
          </w:p>
        </w:tc>
        <w:tc>
          <w:tcPr>
            <w:tcW w:w="2232" w:type="dxa"/>
            <w:shd w:val="clear" w:color="auto" w:fill="BDD6EE" w:themeFill="accent1" w:themeFillTint="66"/>
          </w:tcPr>
          <w:p w:rsidR="00AA5362" w:rsidRDefault="00AA5362" w:rsidP="00AA5362">
            <w:pPr>
              <w:jc w:val="center"/>
              <w:rPr>
                <w:b/>
              </w:rPr>
            </w:pPr>
          </w:p>
          <w:p w:rsidR="00AA5362" w:rsidRPr="008778DC" w:rsidRDefault="00AA5362" w:rsidP="00AA5362">
            <w:pPr>
              <w:jc w:val="center"/>
              <w:rPr>
                <w:b/>
              </w:rPr>
            </w:pPr>
            <w:r w:rsidRPr="008778DC">
              <w:rPr>
                <w:b/>
              </w:rPr>
              <w:t>What controls already exist</w:t>
            </w:r>
          </w:p>
        </w:tc>
        <w:tc>
          <w:tcPr>
            <w:tcW w:w="2184" w:type="dxa"/>
            <w:shd w:val="clear" w:color="auto" w:fill="BDD6EE" w:themeFill="accent1" w:themeFillTint="66"/>
          </w:tcPr>
          <w:p w:rsidR="00AA5362" w:rsidRDefault="00AA5362" w:rsidP="00AA5362">
            <w:pPr>
              <w:jc w:val="center"/>
              <w:rPr>
                <w:b/>
              </w:rPr>
            </w:pPr>
          </w:p>
          <w:p w:rsidR="00AA5362" w:rsidRPr="008778DC" w:rsidRDefault="00AA5362" w:rsidP="00AA5362">
            <w:pPr>
              <w:jc w:val="center"/>
              <w:rPr>
                <w:b/>
              </w:rPr>
            </w:pPr>
            <w:r>
              <w:rPr>
                <w:b/>
              </w:rPr>
              <w:t>Immediate remedial actions to be taken</w:t>
            </w:r>
          </w:p>
        </w:tc>
        <w:tc>
          <w:tcPr>
            <w:tcW w:w="2506" w:type="dxa"/>
            <w:shd w:val="clear" w:color="auto" w:fill="BDD6EE" w:themeFill="accent1" w:themeFillTint="66"/>
          </w:tcPr>
          <w:p w:rsidR="00AA5362" w:rsidRDefault="00AA5362" w:rsidP="00AA5362">
            <w:pPr>
              <w:jc w:val="center"/>
              <w:rPr>
                <w:b/>
              </w:rPr>
            </w:pPr>
          </w:p>
          <w:p w:rsidR="00AA5362" w:rsidRPr="008778DC" w:rsidRDefault="00AA5362" w:rsidP="00AA5362">
            <w:pPr>
              <w:jc w:val="center"/>
              <w:rPr>
                <w:b/>
              </w:rPr>
            </w:pPr>
            <w:r w:rsidRPr="008778DC">
              <w:rPr>
                <w:b/>
              </w:rPr>
              <w:t>What further actions is necessary?</w:t>
            </w:r>
          </w:p>
        </w:tc>
        <w:tc>
          <w:tcPr>
            <w:tcW w:w="1009" w:type="dxa"/>
            <w:shd w:val="clear" w:color="auto" w:fill="BDD6EE" w:themeFill="accent1" w:themeFillTint="66"/>
          </w:tcPr>
          <w:p w:rsidR="00AA5362" w:rsidRDefault="00AA5362" w:rsidP="00AA5362">
            <w:pPr>
              <w:jc w:val="center"/>
              <w:rPr>
                <w:b/>
              </w:rPr>
            </w:pPr>
          </w:p>
          <w:p w:rsidR="00AA5362" w:rsidRPr="008778DC" w:rsidRDefault="00AA5362" w:rsidP="00AA5362">
            <w:pPr>
              <w:jc w:val="center"/>
              <w:rPr>
                <w:b/>
              </w:rPr>
            </w:pPr>
            <w:r w:rsidRPr="008778DC">
              <w:rPr>
                <w:b/>
              </w:rPr>
              <w:t>By whom</w:t>
            </w:r>
          </w:p>
        </w:tc>
        <w:tc>
          <w:tcPr>
            <w:tcW w:w="804" w:type="dxa"/>
            <w:shd w:val="clear" w:color="auto" w:fill="BDD6EE" w:themeFill="accent1" w:themeFillTint="66"/>
          </w:tcPr>
          <w:p w:rsidR="00AA5362" w:rsidRDefault="00AA5362" w:rsidP="00AA5362">
            <w:pPr>
              <w:jc w:val="center"/>
              <w:rPr>
                <w:b/>
              </w:rPr>
            </w:pPr>
          </w:p>
          <w:p w:rsidR="00AA5362" w:rsidRPr="00794DA8" w:rsidRDefault="00AA5362" w:rsidP="00AA5362">
            <w:pPr>
              <w:jc w:val="center"/>
              <w:rPr>
                <w:b/>
              </w:rPr>
            </w:pPr>
            <w:r>
              <w:rPr>
                <w:b/>
              </w:rPr>
              <w:t xml:space="preserve">By </w:t>
            </w:r>
            <w:r w:rsidRPr="00794DA8">
              <w:rPr>
                <w:b/>
              </w:rPr>
              <w:t>When</w:t>
            </w:r>
          </w:p>
        </w:tc>
        <w:tc>
          <w:tcPr>
            <w:tcW w:w="1218" w:type="dxa"/>
            <w:shd w:val="clear" w:color="auto" w:fill="BDD6EE" w:themeFill="accent1" w:themeFillTint="66"/>
          </w:tcPr>
          <w:p w:rsidR="00AA5362" w:rsidRDefault="00AA5362" w:rsidP="00AA5362">
            <w:pPr>
              <w:jc w:val="center"/>
              <w:rPr>
                <w:b/>
              </w:rPr>
            </w:pPr>
          </w:p>
          <w:p w:rsidR="00AA5362" w:rsidRPr="008778DC" w:rsidRDefault="00AA5362" w:rsidP="00AA5362">
            <w:pPr>
              <w:jc w:val="center"/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AA5362" w:rsidTr="00354F6A">
        <w:tc>
          <w:tcPr>
            <w:tcW w:w="1561" w:type="dxa"/>
          </w:tcPr>
          <w:p w:rsidR="00AA5362" w:rsidRPr="004419EE" w:rsidRDefault="00E0363E" w:rsidP="004419EE">
            <w:pPr>
              <w:rPr>
                <w:b/>
              </w:rPr>
            </w:pPr>
            <w:r>
              <w:rPr>
                <w:b/>
              </w:rPr>
              <w:t xml:space="preserve">Posture - </w:t>
            </w:r>
            <w:r w:rsidR="00AA5362">
              <w:rPr>
                <w:b/>
              </w:rPr>
              <w:t xml:space="preserve"> a </w:t>
            </w:r>
            <w:r>
              <w:rPr>
                <w:b/>
              </w:rPr>
              <w:t xml:space="preserve">position that requires you to adopt an awkward position, e.g. </w:t>
            </w:r>
            <w:r>
              <w:rPr>
                <w:b/>
              </w:rPr>
              <w:lastRenderedPageBreak/>
              <w:t>stooping or twisting</w:t>
            </w:r>
          </w:p>
        </w:tc>
        <w:tc>
          <w:tcPr>
            <w:tcW w:w="2434" w:type="dxa"/>
          </w:tcPr>
          <w:p w:rsidR="00AA5362" w:rsidRDefault="00AA5362" w:rsidP="004419EE">
            <w:r>
              <w:lastRenderedPageBreak/>
              <w:t>Staff, pregnant women, people with disabilities, such as mobility or sight impairment</w:t>
            </w:r>
            <w:r w:rsidRPr="004D7B50">
              <w:t xml:space="preserve"> </w:t>
            </w:r>
          </w:p>
        </w:tc>
        <w:tc>
          <w:tcPr>
            <w:tcW w:w="2232" w:type="dxa"/>
          </w:tcPr>
          <w:p w:rsidR="00AA5362" w:rsidRDefault="00AA5362" w:rsidP="004419EE"/>
        </w:tc>
        <w:tc>
          <w:tcPr>
            <w:tcW w:w="2184" w:type="dxa"/>
          </w:tcPr>
          <w:p w:rsidR="00AA5362" w:rsidRDefault="00AA5362" w:rsidP="004419EE"/>
        </w:tc>
        <w:tc>
          <w:tcPr>
            <w:tcW w:w="2506" w:type="dxa"/>
          </w:tcPr>
          <w:p w:rsidR="00AA5362" w:rsidRDefault="00AA5362" w:rsidP="004419EE"/>
        </w:tc>
        <w:tc>
          <w:tcPr>
            <w:tcW w:w="1009" w:type="dxa"/>
          </w:tcPr>
          <w:p w:rsidR="00AA5362" w:rsidRDefault="00AA5362" w:rsidP="004419EE"/>
        </w:tc>
        <w:tc>
          <w:tcPr>
            <w:tcW w:w="804" w:type="dxa"/>
          </w:tcPr>
          <w:p w:rsidR="00AA5362" w:rsidRDefault="00AA5362" w:rsidP="004419EE"/>
        </w:tc>
        <w:tc>
          <w:tcPr>
            <w:tcW w:w="1218" w:type="dxa"/>
          </w:tcPr>
          <w:p w:rsidR="00AA5362" w:rsidRDefault="00AA5362" w:rsidP="004419EE"/>
        </w:tc>
      </w:tr>
      <w:tr w:rsidR="00AA5362" w:rsidTr="00354F6A">
        <w:tc>
          <w:tcPr>
            <w:tcW w:w="1561" w:type="dxa"/>
          </w:tcPr>
          <w:p w:rsidR="00AA5362" w:rsidRPr="004419EE" w:rsidRDefault="00AA5362" w:rsidP="004419EE">
            <w:pPr>
              <w:rPr>
                <w:b/>
              </w:rPr>
            </w:pPr>
            <w:r>
              <w:rPr>
                <w:b/>
              </w:rPr>
              <w:lastRenderedPageBreak/>
              <w:t>Reaching upwards</w:t>
            </w:r>
          </w:p>
        </w:tc>
        <w:tc>
          <w:tcPr>
            <w:tcW w:w="2434" w:type="dxa"/>
          </w:tcPr>
          <w:p w:rsidR="00AA5362" w:rsidRDefault="00AA5362" w:rsidP="004419EE">
            <w:r>
              <w:t>Staff, pregnant women or people with disabilities, such as mobility or sight impairment</w:t>
            </w:r>
            <w:r w:rsidRPr="004D7B50">
              <w:t xml:space="preserve"> </w:t>
            </w:r>
          </w:p>
        </w:tc>
        <w:tc>
          <w:tcPr>
            <w:tcW w:w="2232" w:type="dxa"/>
          </w:tcPr>
          <w:p w:rsidR="00AA5362" w:rsidRDefault="00AA5362" w:rsidP="004419EE"/>
        </w:tc>
        <w:tc>
          <w:tcPr>
            <w:tcW w:w="2184" w:type="dxa"/>
          </w:tcPr>
          <w:p w:rsidR="00AA5362" w:rsidRDefault="00AA5362" w:rsidP="004419EE"/>
        </w:tc>
        <w:tc>
          <w:tcPr>
            <w:tcW w:w="2506" w:type="dxa"/>
          </w:tcPr>
          <w:p w:rsidR="00AA5362" w:rsidRDefault="00AA5362" w:rsidP="004419EE"/>
        </w:tc>
        <w:tc>
          <w:tcPr>
            <w:tcW w:w="1009" w:type="dxa"/>
          </w:tcPr>
          <w:p w:rsidR="00AA5362" w:rsidRDefault="00AA5362" w:rsidP="004419EE"/>
        </w:tc>
        <w:tc>
          <w:tcPr>
            <w:tcW w:w="804" w:type="dxa"/>
          </w:tcPr>
          <w:p w:rsidR="00AA5362" w:rsidRDefault="00AA5362" w:rsidP="004419EE"/>
        </w:tc>
        <w:tc>
          <w:tcPr>
            <w:tcW w:w="1218" w:type="dxa"/>
          </w:tcPr>
          <w:p w:rsidR="00AA5362" w:rsidRDefault="00AA5362" w:rsidP="004419EE"/>
        </w:tc>
      </w:tr>
      <w:tr w:rsidR="00AA5362" w:rsidTr="00354F6A">
        <w:tc>
          <w:tcPr>
            <w:tcW w:w="1561" w:type="dxa"/>
          </w:tcPr>
          <w:p w:rsidR="00AA5362" w:rsidRPr="004419EE" w:rsidRDefault="00AA5362" w:rsidP="004419EE">
            <w:pPr>
              <w:rPr>
                <w:b/>
              </w:rPr>
            </w:pPr>
            <w:r>
              <w:rPr>
                <w:b/>
              </w:rPr>
              <w:t>Strenuous pushing or pulling</w:t>
            </w:r>
          </w:p>
        </w:tc>
        <w:tc>
          <w:tcPr>
            <w:tcW w:w="2434" w:type="dxa"/>
          </w:tcPr>
          <w:p w:rsidR="00AA5362" w:rsidRDefault="00AA5362" w:rsidP="004419EE">
            <w:r>
              <w:t>Staff, pregnant women or people with disabilities, such as mobility or sight impairment</w:t>
            </w:r>
            <w:r w:rsidRPr="004D7B50">
              <w:t xml:space="preserve"> </w:t>
            </w:r>
          </w:p>
        </w:tc>
        <w:tc>
          <w:tcPr>
            <w:tcW w:w="2232" w:type="dxa"/>
          </w:tcPr>
          <w:p w:rsidR="00AA5362" w:rsidRDefault="00AA5362" w:rsidP="004419EE"/>
        </w:tc>
        <w:tc>
          <w:tcPr>
            <w:tcW w:w="2184" w:type="dxa"/>
          </w:tcPr>
          <w:p w:rsidR="00AA5362" w:rsidRDefault="00AA5362" w:rsidP="004419EE"/>
        </w:tc>
        <w:tc>
          <w:tcPr>
            <w:tcW w:w="2506" w:type="dxa"/>
          </w:tcPr>
          <w:p w:rsidR="00AA5362" w:rsidRDefault="00AA5362" w:rsidP="004419EE"/>
        </w:tc>
        <w:tc>
          <w:tcPr>
            <w:tcW w:w="1009" w:type="dxa"/>
          </w:tcPr>
          <w:p w:rsidR="00AA5362" w:rsidRDefault="00AA5362" w:rsidP="004419EE"/>
        </w:tc>
        <w:tc>
          <w:tcPr>
            <w:tcW w:w="804" w:type="dxa"/>
          </w:tcPr>
          <w:p w:rsidR="00AA5362" w:rsidRDefault="00AA5362" w:rsidP="004419EE"/>
        </w:tc>
        <w:tc>
          <w:tcPr>
            <w:tcW w:w="1218" w:type="dxa"/>
          </w:tcPr>
          <w:p w:rsidR="00AA5362" w:rsidRDefault="00AA5362" w:rsidP="004419EE"/>
        </w:tc>
      </w:tr>
      <w:tr w:rsidR="00EE0A24" w:rsidTr="00354F6A">
        <w:tc>
          <w:tcPr>
            <w:tcW w:w="1561" w:type="dxa"/>
          </w:tcPr>
          <w:p w:rsidR="00EE0A24" w:rsidRDefault="00EE0A24" w:rsidP="004419EE">
            <w:pPr>
              <w:rPr>
                <w:b/>
              </w:rPr>
            </w:pPr>
            <w:r>
              <w:rPr>
                <w:b/>
              </w:rPr>
              <w:t>Infrequent rest periods</w:t>
            </w:r>
          </w:p>
        </w:tc>
        <w:tc>
          <w:tcPr>
            <w:tcW w:w="2434" w:type="dxa"/>
          </w:tcPr>
          <w:p w:rsidR="00EE0A24" w:rsidRDefault="00354F6A" w:rsidP="004419EE">
            <w:r>
              <w:t>Staff, pregnant women or people with disabilities</w:t>
            </w:r>
          </w:p>
        </w:tc>
        <w:tc>
          <w:tcPr>
            <w:tcW w:w="2232" w:type="dxa"/>
          </w:tcPr>
          <w:p w:rsidR="00EE0A24" w:rsidRDefault="00EE0A24" w:rsidP="004419EE"/>
        </w:tc>
        <w:tc>
          <w:tcPr>
            <w:tcW w:w="2184" w:type="dxa"/>
          </w:tcPr>
          <w:p w:rsidR="00EE0A24" w:rsidRDefault="00EE0A24" w:rsidP="004419EE"/>
        </w:tc>
        <w:tc>
          <w:tcPr>
            <w:tcW w:w="2506" w:type="dxa"/>
          </w:tcPr>
          <w:p w:rsidR="00EE0A24" w:rsidRDefault="00EE0A24" w:rsidP="004419EE"/>
        </w:tc>
        <w:tc>
          <w:tcPr>
            <w:tcW w:w="1009" w:type="dxa"/>
          </w:tcPr>
          <w:p w:rsidR="00EE0A24" w:rsidRDefault="00EE0A24" w:rsidP="004419EE"/>
        </w:tc>
        <w:tc>
          <w:tcPr>
            <w:tcW w:w="804" w:type="dxa"/>
          </w:tcPr>
          <w:p w:rsidR="00EE0A24" w:rsidRDefault="00EE0A24" w:rsidP="004419EE"/>
        </w:tc>
        <w:tc>
          <w:tcPr>
            <w:tcW w:w="1218" w:type="dxa"/>
          </w:tcPr>
          <w:p w:rsidR="00EE0A24" w:rsidRDefault="00EE0A24" w:rsidP="004419EE"/>
        </w:tc>
      </w:tr>
      <w:tr w:rsidR="00354F6A" w:rsidTr="00354F6A">
        <w:tc>
          <w:tcPr>
            <w:tcW w:w="1561" w:type="dxa"/>
          </w:tcPr>
          <w:p w:rsidR="00354F6A" w:rsidRDefault="00354F6A" w:rsidP="00354F6A">
            <w:pPr>
              <w:rPr>
                <w:b/>
              </w:rPr>
            </w:pPr>
            <w:r>
              <w:rPr>
                <w:b/>
              </w:rPr>
              <w:t>Repetitive work</w:t>
            </w:r>
          </w:p>
        </w:tc>
        <w:tc>
          <w:tcPr>
            <w:tcW w:w="2434" w:type="dxa"/>
          </w:tcPr>
          <w:p w:rsidR="00354F6A" w:rsidRDefault="00354F6A" w:rsidP="00354F6A">
            <w:r w:rsidRPr="00A63FA5">
              <w:t>Staff, pregnant women or people with disabilities</w:t>
            </w:r>
          </w:p>
        </w:tc>
        <w:tc>
          <w:tcPr>
            <w:tcW w:w="2232" w:type="dxa"/>
          </w:tcPr>
          <w:p w:rsidR="00354F6A" w:rsidRDefault="00354F6A" w:rsidP="00354F6A"/>
        </w:tc>
        <w:tc>
          <w:tcPr>
            <w:tcW w:w="2184" w:type="dxa"/>
          </w:tcPr>
          <w:p w:rsidR="00354F6A" w:rsidRDefault="00354F6A" w:rsidP="00354F6A"/>
        </w:tc>
        <w:tc>
          <w:tcPr>
            <w:tcW w:w="2506" w:type="dxa"/>
          </w:tcPr>
          <w:p w:rsidR="00354F6A" w:rsidRDefault="00354F6A" w:rsidP="00354F6A"/>
        </w:tc>
        <w:tc>
          <w:tcPr>
            <w:tcW w:w="1009" w:type="dxa"/>
          </w:tcPr>
          <w:p w:rsidR="00354F6A" w:rsidRDefault="00354F6A" w:rsidP="00354F6A"/>
        </w:tc>
        <w:tc>
          <w:tcPr>
            <w:tcW w:w="804" w:type="dxa"/>
          </w:tcPr>
          <w:p w:rsidR="00354F6A" w:rsidRDefault="00354F6A" w:rsidP="00354F6A"/>
        </w:tc>
        <w:tc>
          <w:tcPr>
            <w:tcW w:w="1218" w:type="dxa"/>
          </w:tcPr>
          <w:p w:rsidR="00354F6A" w:rsidRDefault="00354F6A" w:rsidP="00354F6A"/>
        </w:tc>
      </w:tr>
      <w:tr w:rsidR="00354F6A" w:rsidTr="00354F6A">
        <w:tc>
          <w:tcPr>
            <w:tcW w:w="1561" w:type="dxa"/>
          </w:tcPr>
          <w:p w:rsidR="00354F6A" w:rsidRDefault="00354F6A" w:rsidP="00354F6A">
            <w:pPr>
              <w:rPr>
                <w:b/>
              </w:rPr>
            </w:pPr>
            <w:r>
              <w:rPr>
                <w:b/>
              </w:rPr>
              <w:t>Environmental – too hot/cold</w:t>
            </w:r>
          </w:p>
        </w:tc>
        <w:tc>
          <w:tcPr>
            <w:tcW w:w="2434" w:type="dxa"/>
          </w:tcPr>
          <w:p w:rsidR="00354F6A" w:rsidRDefault="00354F6A" w:rsidP="00354F6A">
            <w:r w:rsidRPr="00A63FA5">
              <w:t>Staff, pregnant women or people with disabilities</w:t>
            </w:r>
          </w:p>
        </w:tc>
        <w:tc>
          <w:tcPr>
            <w:tcW w:w="2232" w:type="dxa"/>
          </w:tcPr>
          <w:p w:rsidR="00354F6A" w:rsidRDefault="00354F6A" w:rsidP="00354F6A"/>
        </w:tc>
        <w:tc>
          <w:tcPr>
            <w:tcW w:w="2184" w:type="dxa"/>
          </w:tcPr>
          <w:p w:rsidR="00354F6A" w:rsidRDefault="00354F6A" w:rsidP="00354F6A"/>
        </w:tc>
        <w:tc>
          <w:tcPr>
            <w:tcW w:w="2506" w:type="dxa"/>
          </w:tcPr>
          <w:p w:rsidR="00354F6A" w:rsidRDefault="00354F6A" w:rsidP="00354F6A"/>
        </w:tc>
        <w:tc>
          <w:tcPr>
            <w:tcW w:w="1009" w:type="dxa"/>
          </w:tcPr>
          <w:p w:rsidR="00354F6A" w:rsidRDefault="00354F6A" w:rsidP="00354F6A"/>
        </w:tc>
        <w:tc>
          <w:tcPr>
            <w:tcW w:w="804" w:type="dxa"/>
          </w:tcPr>
          <w:p w:rsidR="00354F6A" w:rsidRDefault="00354F6A" w:rsidP="00354F6A"/>
        </w:tc>
        <w:tc>
          <w:tcPr>
            <w:tcW w:w="1218" w:type="dxa"/>
          </w:tcPr>
          <w:p w:rsidR="00354F6A" w:rsidRDefault="00354F6A" w:rsidP="00354F6A"/>
        </w:tc>
      </w:tr>
      <w:tr w:rsidR="00354F6A" w:rsidTr="00354F6A">
        <w:tc>
          <w:tcPr>
            <w:tcW w:w="1561" w:type="dxa"/>
          </w:tcPr>
          <w:p w:rsidR="00354F6A" w:rsidRDefault="00354F6A" w:rsidP="00354F6A">
            <w:pPr>
              <w:rPr>
                <w:b/>
              </w:rPr>
            </w:pPr>
            <w:r>
              <w:rPr>
                <w:b/>
              </w:rPr>
              <w:t>Environmental – lighting / glare</w:t>
            </w:r>
          </w:p>
        </w:tc>
        <w:tc>
          <w:tcPr>
            <w:tcW w:w="2434" w:type="dxa"/>
          </w:tcPr>
          <w:p w:rsidR="00354F6A" w:rsidRDefault="00354F6A" w:rsidP="00354F6A">
            <w:r w:rsidRPr="00A63FA5">
              <w:t>Staff, pregnant women or people with disabilities</w:t>
            </w:r>
          </w:p>
        </w:tc>
        <w:tc>
          <w:tcPr>
            <w:tcW w:w="2232" w:type="dxa"/>
          </w:tcPr>
          <w:p w:rsidR="00354F6A" w:rsidRDefault="00354F6A" w:rsidP="00354F6A"/>
        </w:tc>
        <w:tc>
          <w:tcPr>
            <w:tcW w:w="2184" w:type="dxa"/>
          </w:tcPr>
          <w:p w:rsidR="00354F6A" w:rsidRDefault="00354F6A" w:rsidP="00354F6A"/>
        </w:tc>
        <w:tc>
          <w:tcPr>
            <w:tcW w:w="2506" w:type="dxa"/>
          </w:tcPr>
          <w:p w:rsidR="00354F6A" w:rsidRDefault="00354F6A" w:rsidP="00354F6A"/>
        </w:tc>
        <w:tc>
          <w:tcPr>
            <w:tcW w:w="1009" w:type="dxa"/>
          </w:tcPr>
          <w:p w:rsidR="00354F6A" w:rsidRDefault="00354F6A" w:rsidP="00354F6A"/>
        </w:tc>
        <w:tc>
          <w:tcPr>
            <w:tcW w:w="804" w:type="dxa"/>
          </w:tcPr>
          <w:p w:rsidR="00354F6A" w:rsidRDefault="00354F6A" w:rsidP="00354F6A"/>
        </w:tc>
        <w:tc>
          <w:tcPr>
            <w:tcW w:w="1218" w:type="dxa"/>
          </w:tcPr>
          <w:p w:rsidR="00354F6A" w:rsidRDefault="00354F6A" w:rsidP="00354F6A"/>
        </w:tc>
      </w:tr>
    </w:tbl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Pr="00E85DE2" w:rsidRDefault="00E85DE2" w:rsidP="00E85DE2"/>
    <w:p w:rsidR="00E85DE2" w:rsidRDefault="00E85DE2" w:rsidP="00E85DE2"/>
    <w:p w:rsidR="00225A65" w:rsidRPr="00E85DE2" w:rsidRDefault="00E85DE2" w:rsidP="00E85DE2">
      <w:pPr>
        <w:tabs>
          <w:tab w:val="left" w:pos="4140"/>
        </w:tabs>
      </w:pPr>
      <w:r>
        <w:tab/>
      </w:r>
    </w:p>
    <w:sectPr w:rsidR="00225A65" w:rsidRPr="00E85DE2" w:rsidSect="006C7799">
      <w:headerReference w:type="default" r:id="rId8"/>
      <w:footerReference w:type="default" r:id="rId9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C5F" w:rsidRDefault="00F97C5F" w:rsidP="008778DC">
      <w:pPr>
        <w:spacing w:after="0" w:line="240" w:lineRule="auto"/>
      </w:pPr>
      <w:r>
        <w:separator/>
      </w:r>
    </w:p>
  </w:endnote>
  <w:endnote w:type="continuationSeparator" w:id="0">
    <w:p w:rsidR="00F97C5F" w:rsidRDefault="00F97C5F" w:rsidP="00877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2F2" w:rsidRPr="00DB72F2" w:rsidRDefault="00DB72F2">
    <w:pPr>
      <w:pStyle w:val="Footer"/>
      <w:rPr>
        <w:lang w:val="en-US"/>
      </w:rPr>
    </w:pPr>
    <w:r>
      <w:rPr>
        <w:lang w:val="en-US"/>
      </w:rPr>
      <w:t xml:space="preserve"> </w:t>
    </w:r>
    <w:r w:rsidR="0089540E" w:rsidRPr="0089540E">
      <w:rPr>
        <w:lang w:val="en-US"/>
      </w:rPr>
      <w:t>S:\PC24 Official Templates + Corporate Literature\Health &amp; Safety Templates</w:t>
    </w:r>
    <w:r w:rsidR="00C20C85">
      <w:rPr>
        <w:lang w:val="en-US"/>
      </w:rPr>
      <w:t>.  Manual Handling Template/</w:t>
    </w:r>
    <w:proofErr w:type="spellStart"/>
    <w:r w:rsidR="00C20C85">
      <w:rPr>
        <w:lang w:val="en-US"/>
      </w:rPr>
      <w:t>SDineley</w:t>
    </w:r>
    <w:proofErr w:type="spellEnd"/>
    <w:r w:rsidR="00C20C85">
      <w:rPr>
        <w:lang w:val="en-US"/>
      </w:rPr>
      <w:t xml:space="preserve"> V1.0/Mar20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C5F" w:rsidRDefault="00F97C5F" w:rsidP="008778DC">
      <w:pPr>
        <w:spacing w:after="0" w:line="240" w:lineRule="auto"/>
      </w:pPr>
      <w:r>
        <w:separator/>
      </w:r>
    </w:p>
  </w:footnote>
  <w:footnote w:type="continuationSeparator" w:id="0">
    <w:p w:rsidR="00F97C5F" w:rsidRDefault="00F97C5F" w:rsidP="00877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CD3" w:rsidRDefault="00AA1CD3" w:rsidP="008778DC">
    <w:pPr>
      <w:pStyle w:val="Header"/>
      <w:tabs>
        <w:tab w:val="left" w:pos="6795"/>
      </w:tabs>
      <w:ind w:left="1247" w:firstLine="3793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7734300</wp:posOffset>
          </wp:positionH>
          <wp:positionV relativeFrom="paragraph">
            <wp:posOffset>-259715</wp:posOffset>
          </wp:positionV>
          <wp:extent cx="1876425" cy="346710"/>
          <wp:effectExtent l="0" t="0" r="9525" b="0"/>
          <wp:wrapTight wrapText="bothSides">
            <wp:wrapPolygon edited="0">
              <wp:start x="0" y="0"/>
              <wp:lineTo x="0" y="20176"/>
              <wp:lineTo x="21490" y="20176"/>
              <wp:lineTo x="21490" y="0"/>
              <wp:lineTo x="0" y="0"/>
            </wp:wrapPolygon>
          </wp:wrapTight>
          <wp:docPr id="28" name="Picture 28" descr="S:\PC24 Official Templates\PC24 Official Templates and Logos\PC24 Logos\RGB\7399_PrimaryCare24_Fina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PC24 Official Templates\PC24 Official Templates and Logos\PC24 Logos\RGB\7399_PrimaryCare24_Fina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8DC">
      <w:t xml:space="preserve">   </w:t>
    </w:r>
  </w:p>
  <w:p w:rsidR="008778DC" w:rsidRPr="008778DC" w:rsidRDefault="00225A65" w:rsidP="00225A65">
    <w:pPr>
      <w:pStyle w:val="Header"/>
      <w:tabs>
        <w:tab w:val="left" w:pos="6795"/>
      </w:tabs>
      <w:jc w:val="center"/>
      <w:rPr>
        <w:b/>
        <w:sz w:val="32"/>
        <w:szCs w:val="32"/>
      </w:rPr>
    </w:pPr>
    <w:r>
      <w:rPr>
        <w:b/>
        <w:sz w:val="32"/>
        <w:szCs w:val="32"/>
      </w:rPr>
      <w:t>Risk Assessment –</w:t>
    </w:r>
    <w:r w:rsidR="00BD5FF2">
      <w:rPr>
        <w:b/>
        <w:sz w:val="32"/>
        <w:szCs w:val="32"/>
      </w:rPr>
      <w:t xml:space="preserve"> </w:t>
    </w:r>
    <w:r w:rsidR="00E85DE2">
      <w:rPr>
        <w:b/>
        <w:sz w:val="32"/>
        <w:szCs w:val="32"/>
      </w:rPr>
      <w:t>Manual Handling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B1316"/>
    <w:multiLevelType w:val="hybridMultilevel"/>
    <w:tmpl w:val="EAEA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75BEB"/>
    <w:multiLevelType w:val="multilevel"/>
    <w:tmpl w:val="3EBAD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E48DA"/>
    <w:multiLevelType w:val="multilevel"/>
    <w:tmpl w:val="3DC4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2491C"/>
    <w:multiLevelType w:val="multilevel"/>
    <w:tmpl w:val="F152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415403"/>
    <w:multiLevelType w:val="hybridMultilevel"/>
    <w:tmpl w:val="6E5A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C0D03"/>
    <w:multiLevelType w:val="hybridMultilevel"/>
    <w:tmpl w:val="D3E0DD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DC"/>
    <w:rsid w:val="00043AD9"/>
    <w:rsid w:val="00056B75"/>
    <w:rsid w:val="000B0067"/>
    <w:rsid w:val="000C1A05"/>
    <w:rsid w:val="000C68D1"/>
    <w:rsid w:val="00165137"/>
    <w:rsid w:val="00173740"/>
    <w:rsid w:val="0019013F"/>
    <w:rsid w:val="00225A65"/>
    <w:rsid w:val="00267318"/>
    <w:rsid w:val="002A5E1B"/>
    <w:rsid w:val="002C21CF"/>
    <w:rsid w:val="002D26C2"/>
    <w:rsid w:val="00303A09"/>
    <w:rsid w:val="0031165F"/>
    <w:rsid w:val="00317ED5"/>
    <w:rsid w:val="00354F6A"/>
    <w:rsid w:val="00380813"/>
    <w:rsid w:val="003A44A5"/>
    <w:rsid w:val="003B4249"/>
    <w:rsid w:val="003B7A6E"/>
    <w:rsid w:val="003F6B07"/>
    <w:rsid w:val="00404F7A"/>
    <w:rsid w:val="004218FB"/>
    <w:rsid w:val="00426AE1"/>
    <w:rsid w:val="004419EE"/>
    <w:rsid w:val="004A2813"/>
    <w:rsid w:val="004A43FB"/>
    <w:rsid w:val="004A489C"/>
    <w:rsid w:val="004D4DD3"/>
    <w:rsid w:val="005406FD"/>
    <w:rsid w:val="00545E5D"/>
    <w:rsid w:val="005530D3"/>
    <w:rsid w:val="00561D67"/>
    <w:rsid w:val="00563A39"/>
    <w:rsid w:val="00565BBD"/>
    <w:rsid w:val="005C7EB1"/>
    <w:rsid w:val="005E39E7"/>
    <w:rsid w:val="006577B2"/>
    <w:rsid w:val="0066252E"/>
    <w:rsid w:val="00675510"/>
    <w:rsid w:val="006C7799"/>
    <w:rsid w:val="006F15C3"/>
    <w:rsid w:val="007B51FA"/>
    <w:rsid w:val="008319D3"/>
    <w:rsid w:val="008778DC"/>
    <w:rsid w:val="00886708"/>
    <w:rsid w:val="0089540E"/>
    <w:rsid w:val="008F6B9D"/>
    <w:rsid w:val="00904B60"/>
    <w:rsid w:val="00965251"/>
    <w:rsid w:val="009C7C3F"/>
    <w:rsid w:val="009E149E"/>
    <w:rsid w:val="00A02721"/>
    <w:rsid w:val="00A82699"/>
    <w:rsid w:val="00A85623"/>
    <w:rsid w:val="00AA1CD3"/>
    <w:rsid w:val="00AA5362"/>
    <w:rsid w:val="00AF65F8"/>
    <w:rsid w:val="00B20FBF"/>
    <w:rsid w:val="00B24700"/>
    <w:rsid w:val="00B33687"/>
    <w:rsid w:val="00B87AAF"/>
    <w:rsid w:val="00B9422A"/>
    <w:rsid w:val="00BA63DE"/>
    <w:rsid w:val="00BD5FF2"/>
    <w:rsid w:val="00BE5BF9"/>
    <w:rsid w:val="00BF0DAF"/>
    <w:rsid w:val="00C20C85"/>
    <w:rsid w:val="00CA1FE8"/>
    <w:rsid w:val="00D326F8"/>
    <w:rsid w:val="00DB72F2"/>
    <w:rsid w:val="00E0363E"/>
    <w:rsid w:val="00E16F0F"/>
    <w:rsid w:val="00E85DE2"/>
    <w:rsid w:val="00EB29A0"/>
    <w:rsid w:val="00EE0A24"/>
    <w:rsid w:val="00EF4127"/>
    <w:rsid w:val="00F64A90"/>
    <w:rsid w:val="00F97C5F"/>
    <w:rsid w:val="00FF03B8"/>
    <w:rsid w:val="00FF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F5BBD31C-6033-4E2F-B765-AFE0850F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8DC"/>
  </w:style>
  <w:style w:type="paragraph" w:styleId="Footer">
    <w:name w:val="footer"/>
    <w:basedOn w:val="Normal"/>
    <w:link w:val="FooterChar"/>
    <w:uiPriority w:val="99"/>
    <w:unhideWhenUsed/>
    <w:rsid w:val="00877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8DC"/>
  </w:style>
  <w:style w:type="table" w:styleId="TableGrid">
    <w:name w:val="Table Grid"/>
    <w:basedOn w:val="TableNormal"/>
    <w:uiPriority w:val="39"/>
    <w:rsid w:val="00877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406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06FD"/>
    <w:pPr>
      <w:spacing w:after="240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7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hse.gov.uk/risk/faq.ht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95BCE-7B71-428C-902D-261F0013A326}"/>
</file>

<file path=customXml/itemProps2.xml><?xml version="1.0" encoding="utf-8"?>
<ds:datastoreItem xmlns:ds="http://schemas.openxmlformats.org/officeDocument/2006/customXml" ds:itemID="{B4A6DA18-48EF-45E7-ABD5-AF9CD75CF714}"/>
</file>

<file path=customXml/itemProps3.xml><?xml version="1.0" encoding="utf-8"?>
<ds:datastoreItem xmlns:ds="http://schemas.openxmlformats.org/officeDocument/2006/customXml" ds:itemID="{CA37062F-6865-4843-A655-42B00C8E4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4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Hardman</dc:creator>
  <cp:lastModifiedBy>Sheila Dineley</cp:lastModifiedBy>
  <cp:revision>18</cp:revision>
  <dcterms:created xsi:type="dcterms:W3CDTF">2019-11-27T09:44:00Z</dcterms:created>
  <dcterms:modified xsi:type="dcterms:W3CDTF">2020-03-27T10:56:00Z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